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55B" w:rsidRDefault="002213CD" w:rsidP="006869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2213CD">
        <w:rPr>
          <w:rFonts w:ascii="Times New Roman" w:hAnsi="Times New Roman" w:cs="Times New Roman"/>
          <w:bCs/>
        </w:rPr>
        <w:t xml:space="preserve">Załącznik </w:t>
      </w:r>
      <w:r w:rsidRPr="002213CD">
        <w:rPr>
          <w:rFonts w:ascii="Times New Roman" w:hAnsi="Times New Roman" w:cs="Times New Roman"/>
          <w:bCs/>
        </w:rPr>
        <w:fldChar w:fldCharType="begin"/>
      </w:r>
      <w:r w:rsidRPr="002213CD">
        <w:rPr>
          <w:rFonts w:ascii="Times New Roman" w:hAnsi="Times New Roman" w:cs="Times New Roman"/>
          <w:bCs/>
        </w:rPr>
        <w:instrText xml:space="preserve"> FILENAME   \* MERGEFORMAT </w:instrText>
      </w:r>
      <w:r w:rsidRPr="002213CD">
        <w:rPr>
          <w:rFonts w:ascii="Times New Roman" w:hAnsi="Times New Roman" w:cs="Times New Roman"/>
          <w:bCs/>
        </w:rPr>
        <w:fldChar w:fldCharType="separate"/>
      </w:r>
      <w:r>
        <w:rPr>
          <w:rFonts w:ascii="Times New Roman" w:hAnsi="Times New Roman" w:cs="Times New Roman"/>
          <w:bCs/>
        </w:rPr>
        <w:t>B.46</w:t>
      </w:r>
      <w:r w:rsidRPr="002213CD">
        <w:rPr>
          <w:rFonts w:ascii="Times New Roman" w:hAnsi="Times New Roman" w:cs="Times New Roman"/>
          <w:bCs/>
        </w:rPr>
        <w:t>.</w:t>
      </w:r>
      <w:r w:rsidRPr="002213CD">
        <w:rPr>
          <w:rFonts w:ascii="Times New Roman" w:hAnsi="Times New Roman" w:cs="Times New Roman"/>
          <w:bCs/>
        </w:rPr>
        <w:fldChar w:fldCharType="end"/>
      </w:r>
    </w:p>
    <w:p w:rsidR="002213CD" w:rsidRPr="002213CD" w:rsidRDefault="002213CD" w:rsidP="006869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2213CD">
        <w:rPr>
          <w:rFonts w:ascii="Times New Roman" w:hAnsi="Times New Roman" w:cs="Times New Roman"/>
          <w:bCs/>
        </w:rPr>
        <w:fldChar w:fldCharType="begin"/>
      </w:r>
      <w:r w:rsidRPr="002213CD">
        <w:rPr>
          <w:rFonts w:ascii="Times New Roman" w:hAnsi="Times New Roman" w:cs="Times New Roman"/>
          <w:bCs/>
        </w:rPr>
        <w:instrText xml:space="preserve"> FILENAME   \* MERGEFORMAT </w:instrText>
      </w:r>
      <w:r w:rsidRPr="002213CD">
        <w:rPr>
          <w:rFonts w:ascii="Times New Roman" w:hAnsi="Times New Roman" w:cs="Times New Roman"/>
          <w:bCs/>
        </w:rPr>
        <w:fldChar w:fldCharType="end"/>
      </w:r>
    </w:p>
    <w:p w:rsidR="00783659" w:rsidRPr="00A21BD3" w:rsidRDefault="00783659" w:rsidP="0014355B">
      <w:pPr>
        <w:spacing w:after="240" w:line="24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A21BD3">
        <w:rPr>
          <w:rFonts w:ascii="Times New Roman" w:hAnsi="Times New Roman" w:cs="Times New Roman"/>
          <w:b/>
          <w:bCs/>
          <w:sz w:val="28"/>
          <w:szCs w:val="24"/>
        </w:rPr>
        <w:t>LECZENIE STWARDNIENIA ROZSIANEGO PO NIEPOWODZENIU TERAPII LEKAMI PIERWSZEGO RZUTU LUB SZYBKO ROZWIJAJĄCEJ  SIĘ CIĘŻKIEJ POSTACI  STWARDNIENIA  ROZSIANEGO</w:t>
      </w:r>
      <w:r w:rsidR="00D87CA5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D87CA5" w:rsidRPr="00D87CA5">
        <w:rPr>
          <w:rFonts w:ascii="Times New Roman" w:hAnsi="Times New Roman" w:cs="Times New Roman"/>
          <w:b/>
          <w:bCs/>
          <w:sz w:val="28"/>
          <w:szCs w:val="24"/>
        </w:rPr>
        <w:t>LUB PIERWOTNIE POSTĘPUJĄCEJ POSTACI STWARDNIENIA</w:t>
      </w:r>
      <w:r w:rsidR="00D87CA5">
        <w:rPr>
          <w:rFonts w:ascii="Times New Roman" w:hAnsi="Times New Roman" w:cs="Times New Roman"/>
          <w:b/>
          <w:bCs/>
          <w:sz w:val="28"/>
          <w:szCs w:val="24"/>
        </w:rPr>
        <w:t xml:space="preserve"> ROZSIANEGO</w:t>
      </w:r>
      <w:r w:rsidRPr="00A21BD3">
        <w:rPr>
          <w:rFonts w:ascii="Times New Roman" w:hAnsi="Times New Roman" w:cs="Times New Roman"/>
          <w:b/>
          <w:bCs/>
          <w:color w:val="FF0000"/>
          <w:sz w:val="28"/>
          <w:szCs w:val="24"/>
        </w:rPr>
        <w:t xml:space="preserve"> </w:t>
      </w:r>
      <w:r w:rsidR="002534E2">
        <w:rPr>
          <w:rFonts w:ascii="Times New Roman" w:hAnsi="Times New Roman" w:cs="Times New Roman"/>
          <w:b/>
          <w:bCs/>
          <w:sz w:val="28"/>
          <w:szCs w:val="24"/>
        </w:rPr>
        <w:t xml:space="preserve">(ICD-10  </w:t>
      </w:r>
      <w:r w:rsidRPr="00A21BD3">
        <w:rPr>
          <w:rFonts w:ascii="Times New Roman" w:hAnsi="Times New Roman" w:cs="Times New Roman"/>
          <w:b/>
          <w:bCs/>
          <w:sz w:val="28"/>
          <w:szCs w:val="24"/>
        </w:rPr>
        <w:t>G 35)</w:t>
      </w:r>
    </w:p>
    <w:tbl>
      <w:tblPr>
        <w:tblpPr w:leftFromText="141" w:rightFromText="141" w:vertAnchor="text" w:tblpXSpec="center" w:tblpY="1"/>
        <w:tblOverlap w:val="never"/>
        <w:tblW w:w="500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0"/>
        <w:gridCol w:w="4471"/>
        <w:gridCol w:w="5595"/>
      </w:tblGrid>
      <w:tr w:rsidR="00783659" w:rsidRPr="00D107EF" w:rsidTr="00AE5AA4">
        <w:tc>
          <w:tcPr>
            <w:tcW w:w="5000" w:type="pct"/>
            <w:gridSpan w:val="3"/>
            <w:vAlign w:val="center"/>
          </w:tcPr>
          <w:p w:rsidR="00783659" w:rsidRPr="00D107EF" w:rsidRDefault="00783659" w:rsidP="00D107E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783659" w:rsidRPr="00D107EF" w:rsidTr="00AE5AA4">
        <w:tc>
          <w:tcPr>
            <w:tcW w:w="1733" w:type="pct"/>
            <w:vAlign w:val="center"/>
          </w:tcPr>
          <w:p w:rsidR="00783659" w:rsidRPr="00D107EF" w:rsidRDefault="00783659" w:rsidP="00D107E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451" w:type="pct"/>
            <w:vAlign w:val="center"/>
          </w:tcPr>
          <w:p w:rsidR="00783659" w:rsidRPr="00D107EF" w:rsidRDefault="00783659" w:rsidP="00D107E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816" w:type="pct"/>
            <w:tcBorders>
              <w:right w:val="single" w:sz="4" w:space="0" w:color="auto"/>
            </w:tcBorders>
            <w:vAlign w:val="center"/>
          </w:tcPr>
          <w:p w:rsidR="00783659" w:rsidRPr="00D107EF" w:rsidRDefault="00783659" w:rsidP="00D107E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783659" w:rsidRPr="00D107EF" w:rsidTr="00AE5AA4">
        <w:trPr>
          <w:trHeight w:val="1408"/>
        </w:trPr>
        <w:tc>
          <w:tcPr>
            <w:tcW w:w="1733" w:type="pct"/>
          </w:tcPr>
          <w:p w:rsidR="00783659" w:rsidRPr="00D107EF" w:rsidRDefault="00783659" w:rsidP="00D107EF">
            <w:pPr>
              <w:spacing w:before="120" w:after="12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 Kryteria kwalifikacji do leczenia</w:t>
            </w:r>
            <w:r w:rsidR="00CB413C" w:rsidRPr="00D107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413C" w:rsidRPr="00D107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fingolimodem</w:t>
            </w:r>
            <w:proofErr w:type="spellEnd"/>
            <w:r w:rsidR="00CB413C" w:rsidRPr="00D107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w ramach programu</w:t>
            </w:r>
          </w:p>
          <w:p w:rsidR="00783659" w:rsidRPr="00D107EF" w:rsidRDefault="00783659" w:rsidP="00D107EF">
            <w:pPr>
              <w:spacing w:before="120"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Do leczenia </w:t>
            </w:r>
            <w:r w:rsidRPr="00D107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substancją czynną </w:t>
            </w:r>
            <w:proofErr w:type="spellStart"/>
            <w:r w:rsidRPr="00D107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fingolimod</w:t>
            </w:r>
            <w:proofErr w:type="spellEnd"/>
            <w:r w:rsidRPr="00D107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kwalifikowani są pacjenci spełniający </w:t>
            </w:r>
            <w:r w:rsidR="002572EB" w:rsidRPr="00D107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łącznie kryteria wymi</w:t>
            </w:r>
            <w:r w:rsidR="00974E59" w:rsidRPr="00D107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enione w punktach: 1.1, 1.2 i 1.3 albo 1.1, 1.2</w:t>
            </w:r>
            <w:r w:rsidR="002572EB" w:rsidRPr="00D107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1.4:</w:t>
            </w:r>
          </w:p>
          <w:p w:rsidR="00783659" w:rsidRPr="00D107EF" w:rsidRDefault="00783659" w:rsidP="00D107EF">
            <w:pPr>
              <w:spacing w:before="120" w:after="120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 Wiek od 18 roku życia; </w:t>
            </w:r>
          </w:p>
          <w:p w:rsidR="00783659" w:rsidRPr="00D107EF" w:rsidRDefault="00783659" w:rsidP="00D107EF">
            <w:pPr>
              <w:spacing w:before="120" w:after="120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 Rozpoznanie postaci rzutow</w:t>
            </w:r>
            <w:r w:rsidR="00D87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o-</w:t>
            </w:r>
            <w:proofErr w:type="spellStart"/>
            <w:r w:rsidR="00D87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remisyjnej</w:t>
            </w:r>
            <w:proofErr w:type="spellEnd"/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stwardnienia rozsianego (RRMS) - oparte na </w:t>
            </w:r>
            <w:r w:rsidR="00D87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aktualnych </w:t>
            </w: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kryteriach diagnostycznych McDonald</w:t>
            </w:r>
            <w:r w:rsidR="00D87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783659" w:rsidRPr="00D107EF" w:rsidRDefault="00783659" w:rsidP="00D107EF">
            <w:pPr>
              <w:spacing w:before="120" w:after="120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 Pacjenci, u których stwierdza się brak odpowiedzi na pełny, minimum roczny cykl leczenia</w:t>
            </w:r>
            <w:r w:rsidR="00815DC3"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15DC3" w:rsidRPr="00D107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interferonem beta lub PEG-interferonem beta-1a lub octanem </w:t>
            </w:r>
            <w:proofErr w:type="spellStart"/>
            <w:r w:rsidR="00815DC3" w:rsidRPr="00D107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glatirameru</w:t>
            </w:r>
            <w:proofErr w:type="spellEnd"/>
            <w:r w:rsidR="00815DC3" w:rsidRPr="00D107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="00815DC3" w:rsidRPr="00D107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fumaranem</w:t>
            </w:r>
            <w:proofErr w:type="spellEnd"/>
            <w:r w:rsidR="00815DC3" w:rsidRPr="00D107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dimetylu</w:t>
            </w:r>
            <w:r w:rsidR="00847589" w:rsidRPr="00D107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="00847589" w:rsidRPr="00D107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teryflunomidem</w:t>
            </w:r>
            <w:proofErr w:type="spellEnd"/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definiowany jako spełnienie obu  poniższych warunków:</w:t>
            </w:r>
          </w:p>
          <w:p w:rsidR="00783659" w:rsidRPr="00D107EF" w:rsidRDefault="00783659" w:rsidP="00D107EF">
            <w:pPr>
              <w:spacing w:before="120" w:after="120"/>
              <w:ind w:left="284" w:hanging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liczba i ciężkość rzutów: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19"/>
              </w:numPr>
              <w:spacing w:before="120" w:after="120"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 xml:space="preserve">2 lub więcej rzutów umiarkowanych wymagających leczenia sterydami (wzrost EDSS o 1 do 2 pkt lub wzrost o 2 pkt w zakresie jednego lub dwóch układów </w:t>
            </w:r>
            <w:r w:rsidRPr="00D107EF">
              <w:rPr>
                <w:color w:val="000000"/>
                <w:sz w:val="20"/>
                <w:szCs w:val="20"/>
              </w:rPr>
              <w:lastRenderedPageBreak/>
              <w:t>funkcjonalnych, lub o 1 pkt w zakresie czterech lub większej liczby układów funkcjonalnych)  lub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19"/>
              </w:numPr>
              <w:spacing w:before="120" w:after="120"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1 ciężki rzut po 6 miesiącach leczenia (wzrost w EDSS większy niż w definicji rzutu umiarkowanego);</w:t>
            </w:r>
          </w:p>
          <w:p w:rsidR="00783659" w:rsidRPr="00D107EF" w:rsidRDefault="00783659" w:rsidP="00D107EF">
            <w:pPr>
              <w:spacing w:before="120" w:after="120"/>
              <w:ind w:left="360" w:hanging="21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zmiany w badaniu rezonansu magnetycznego wykonanym  po każdych 12 miesiącach, gdy stwierdza się jedno z poniższych:</w:t>
            </w:r>
          </w:p>
          <w:p w:rsidR="00783659" w:rsidRPr="00D107EF" w:rsidRDefault="00783659" w:rsidP="00D107EF">
            <w:pPr>
              <w:spacing w:before="120" w:after="120"/>
              <w:ind w:left="567" w:hanging="28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a) więcej niż jedna nowa zmiana Gd (+),</w:t>
            </w:r>
          </w:p>
          <w:p w:rsidR="0078668B" w:rsidRPr="00D107EF" w:rsidRDefault="00783659" w:rsidP="00D107EF">
            <w:pPr>
              <w:spacing w:before="120" w:after="120"/>
              <w:ind w:left="567" w:hanging="28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b) więcej niż dwie nowe zmiany w sekwencji T2.</w:t>
            </w:r>
          </w:p>
          <w:p w:rsidR="003D2A67" w:rsidRPr="00D107EF" w:rsidRDefault="0078668B" w:rsidP="00D107EF">
            <w:pPr>
              <w:spacing w:before="120"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1.4. Szybko rozwijająca się, ciężka postać choroby </w:t>
            </w:r>
          </w:p>
          <w:p w:rsidR="0078668B" w:rsidRPr="00D107EF" w:rsidRDefault="0078668B" w:rsidP="00D107EF">
            <w:pPr>
              <w:spacing w:before="120"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rozpoznawana kiedy zostaną spełnione oba poniższe parametry: </w:t>
            </w:r>
          </w:p>
          <w:p w:rsidR="0078668B" w:rsidRPr="00D107EF" w:rsidRDefault="0078668B" w:rsidP="00D107EF">
            <w:pPr>
              <w:spacing w:before="120" w:after="120"/>
              <w:ind w:left="42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a) co najmniej dwa rzuty wymagające leczenia sterydami powodujące niesprawność (w czasie rzutu wzrost EDSS o minimum 2 pkt)</w:t>
            </w:r>
          </w:p>
          <w:p w:rsidR="0078668B" w:rsidRPr="00D107EF" w:rsidRDefault="0078668B" w:rsidP="00D107EF">
            <w:pPr>
              <w:spacing w:before="120" w:after="120"/>
              <w:ind w:left="42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b) zmiany w badaniu rezonansu magnetycznego</w:t>
            </w:r>
          </w:p>
          <w:p w:rsidR="0078668B" w:rsidRPr="00D107EF" w:rsidRDefault="0078668B" w:rsidP="00D107EF">
            <w:pPr>
              <w:spacing w:before="120" w:after="120"/>
              <w:ind w:left="42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więcej niż jedna nowa zmiana GD(+) lub</w:t>
            </w:r>
          </w:p>
          <w:p w:rsidR="001449D0" w:rsidRPr="00D107EF" w:rsidRDefault="0078668B" w:rsidP="00D107EF">
            <w:pPr>
              <w:spacing w:before="120" w:after="120"/>
              <w:ind w:left="42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więcej niż dwie nowe zmiany w sekwencji T2 (w sumie nie mniej niż 9 zmian);</w:t>
            </w:r>
          </w:p>
          <w:p w:rsidR="001449D0" w:rsidRPr="00D107EF" w:rsidRDefault="001449D0" w:rsidP="00D107EF">
            <w:pPr>
              <w:pStyle w:val="Default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 programu włączane są, bez konieczności ponownej kwalifikacji, pacjentki wyłączone z programu w związku z ciążą, które w momencie wyłączenia spełniały pozostałe kryteria  leczenia w programie oraz które na moment ponownego włączania do programu nie spełniają przeciwskazań do leczenia oraz kryteriów wyłączenia i spełniają pozostałe kryteria przedłużenia leczenia.</w:t>
            </w:r>
          </w:p>
          <w:p w:rsidR="00783659" w:rsidRPr="00D107EF" w:rsidRDefault="00783659" w:rsidP="00D107EF">
            <w:pPr>
              <w:spacing w:before="120" w:after="12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 Przeciwwskazania bezwzg</w:t>
            </w:r>
            <w:r w:rsidR="00CB413C" w:rsidRPr="00D107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lędne do stosowania </w:t>
            </w:r>
            <w:proofErr w:type="spellStart"/>
            <w:r w:rsidR="00CB413C" w:rsidRPr="00D107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fingolimodu</w:t>
            </w:r>
            <w:proofErr w:type="spellEnd"/>
          </w:p>
          <w:p w:rsidR="00783659" w:rsidRPr="00D107EF" w:rsidRDefault="00783659" w:rsidP="00D107EF">
            <w:pPr>
              <w:spacing w:before="120"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Przeciwwskazaniem do leczenia </w:t>
            </w:r>
            <w:proofErr w:type="spellStart"/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fingolimodem</w:t>
            </w:r>
            <w:proofErr w:type="spellEnd"/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jest spełnienie co najmniej jednego z niżej wymienionych kryteriów: </w:t>
            </w:r>
          </w:p>
          <w:p w:rsidR="00783659" w:rsidRPr="00D107EF" w:rsidRDefault="00783659" w:rsidP="00D107EF">
            <w:pPr>
              <w:spacing w:before="120" w:after="120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</w:t>
            </w: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Pacjenci ze zwiększonym ryzykiem wystąpienia zakażeń oportunistycznych, w tym:</w:t>
            </w:r>
          </w:p>
          <w:p w:rsidR="00783659" w:rsidRPr="00D107EF" w:rsidRDefault="00783659" w:rsidP="00D107EF">
            <w:pPr>
              <w:spacing w:before="120" w:after="120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a)</w:t>
            </w: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pacjenci z rozpoznanym zespołem niedoboru odporności,</w:t>
            </w:r>
          </w:p>
          <w:p w:rsidR="00783659" w:rsidRPr="00D107EF" w:rsidRDefault="00783659" w:rsidP="00D107EF">
            <w:pPr>
              <w:spacing w:before="120" w:after="120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b)</w:t>
            </w: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osoby przyjmujące aktualnie leki immunosupresyjne,</w:t>
            </w:r>
          </w:p>
          <w:p w:rsidR="00783659" w:rsidRPr="00D107EF" w:rsidRDefault="00783659" w:rsidP="00D107EF">
            <w:pPr>
              <w:spacing w:before="120" w:after="120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c)</w:t>
            </w: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pacjenci ze zmniejszoną odpornością powstałą w wyniku wcześniejszego leczenia immunosupresyjnego;</w:t>
            </w:r>
          </w:p>
          <w:p w:rsidR="00783659" w:rsidRPr="00D107EF" w:rsidRDefault="00783659" w:rsidP="00D107EF">
            <w:pPr>
              <w:spacing w:before="120" w:after="120"/>
              <w:ind w:left="360" w:hanging="33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</w:t>
            </w: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Ciężkie aktywne zakażenia oraz aktywne przewlekłe zakażenia w szczególności zapalenie wątroby, gruźlica;</w:t>
            </w:r>
          </w:p>
          <w:p w:rsidR="00783659" w:rsidRPr="00D107EF" w:rsidRDefault="00783659" w:rsidP="00D107EF">
            <w:pPr>
              <w:spacing w:before="120" w:after="120"/>
              <w:ind w:left="360" w:hanging="33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3)</w:t>
            </w: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Rozpoznane czynne choroby nowotworowe, z wyjątkiem pacjentów z rakiem </w:t>
            </w:r>
            <w:proofErr w:type="spellStart"/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podstawnokomórkowym</w:t>
            </w:r>
            <w:proofErr w:type="spellEnd"/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skóry;</w:t>
            </w:r>
          </w:p>
          <w:p w:rsidR="00783659" w:rsidRPr="00D107EF" w:rsidRDefault="00783659" w:rsidP="00D107EF">
            <w:pPr>
              <w:spacing w:before="120" w:after="120"/>
              <w:ind w:left="374" w:hanging="34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4)</w:t>
            </w: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Ciężkie zaburzenia czynności wątroby (stopnia C wg Child-</w:t>
            </w:r>
            <w:proofErr w:type="spellStart"/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Pugh</w:t>
            </w:r>
            <w:proofErr w:type="spellEnd"/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);</w:t>
            </w:r>
          </w:p>
          <w:p w:rsidR="00783659" w:rsidRPr="00D107EF" w:rsidRDefault="00783659" w:rsidP="00D107EF">
            <w:pPr>
              <w:spacing w:before="120" w:after="120"/>
              <w:ind w:left="360" w:hanging="33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5)</w:t>
            </w: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Nadwrażliwość na substancję czynną lub na którąkolwiek substancję pomocniczą;</w:t>
            </w:r>
          </w:p>
          <w:p w:rsidR="00783659" w:rsidRPr="00D107EF" w:rsidRDefault="00783659" w:rsidP="00D107EF">
            <w:pPr>
              <w:spacing w:before="120" w:after="120"/>
              <w:ind w:left="388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6)</w:t>
            </w: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Pacjenci z chorobą niedokrwienną serca, chorobą węzła zatokowego, wywiadem w kierunku zawału serca oraz leczeni lekami antyarytmicznymi klasy </w:t>
            </w:r>
            <w:proofErr w:type="spellStart"/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Ia</w:t>
            </w:r>
            <w:proofErr w:type="spellEnd"/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lub III;</w:t>
            </w:r>
          </w:p>
          <w:p w:rsidR="00783659" w:rsidRPr="00D107EF" w:rsidRDefault="00783659" w:rsidP="00D107EF">
            <w:pPr>
              <w:spacing w:before="120" w:after="120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7)</w:t>
            </w: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Pacjenci, którzy nie przebyli ospy wietrznej lub nie zostali przeciw niej zaszczepieni i nie występują u nich przeciwciała przeciw wirusowi ospy wietrznej i półpaśca (</w:t>
            </w:r>
            <w:proofErr w:type="spellStart"/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Varicella</w:t>
            </w:r>
            <w:proofErr w:type="spellEnd"/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-Zoster </w:t>
            </w:r>
            <w:proofErr w:type="spellStart"/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virus</w:t>
            </w:r>
            <w:proofErr w:type="spellEnd"/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VZV);</w:t>
            </w:r>
          </w:p>
          <w:p w:rsidR="00783659" w:rsidRPr="00D107EF" w:rsidRDefault="00783659" w:rsidP="00D107EF">
            <w:pPr>
              <w:spacing w:before="120" w:after="120"/>
              <w:ind w:left="360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8)   Pacjenci z wtórnie postępującą postacią choroby.</w:t>
            </w:r>
          </w:p>
          <w:p w:rsidR="00783659" w:rsidRPr="00D107EF" w:rsidRDefault="00783659" w:rsidP="00D107EF">
            <w:pPr>
              <w:spacing w:before="120" w:after="120"/>
              <w:ind w:left="360" w:hanging="36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 Przeciww</w:t>
            </w:r>
            <w:r w:rsidR="00CB413C" w:rsidRPr="00D107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skazania względne do stosowania</w:t>
            </w:r>
          </w:p>
          <w:p w:rsidR="00783659" w:rsidRPr="00D107EF" w:rsidRDefault="00783659" w:rsidP="00D107EF">
            <w:pPr>
              <w:spacing w:before="120" w:after="120"/>
              <w:ind w:hanging="2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Nie zaleca się stosowania </w:t>
            </w:r>
            <w:proofErr w:type="spellStart"/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fingolimodu</w:t>
            </w:r>
            <w:proofErr w:type="spellEnd"/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20"/>
              </w:numPr>
              <w:spacing w:before="120" w:after="120" w:line="276" w:lineRule="auto"/>
              <w:ind w:left="284" w:hanging="284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lastRenderedPageBreak/>
              <w:t>U pacjentów spełniających  co najmniej jedno  kryterium z niżej wymienionych: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10"/>
              </w:numPr>
              <w:spacing w:before="120" w:after="120"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 xml:space="preserve">blok drugiego stopnia typu </w:t>
            </w:r>
            <w:proofErr w:type="spellStart"/>
            <w:r w:rsidRPr="00D107EF">
              <w:rPr>
                <w:color w:val="000000"/>
                <w:sz w:val="20"/>
                <w:szCs w:val="20"/>
              </w:rPr>
              <w:t>Mobitz</w:t>
            </w:r>
            <w:proofErr w:type="spellEnd"/>
            <w:r w:rsidRPr="00D107EF">
              <w:rPr>
                <w:color w:val="000000"/>
                <w:sz w:val="20"/>
                <w:szCs w:val="20"/>
              </w:rPr>
              <w:t xml:space="preserve"> II lub blok przedsionkowo-komorowy wyższego stopnia;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10"/>
              </w:numPr>
              <w:spacing w:before="120" w:after="120"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blok zatokowo-przedsionkowy;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10"/>
              </w:numPr>
              <w:spacing w:before="120" w:after="120"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istotne wydłużenie QT (</w:t>
            </w:r>
            <w:proofErr w:type="spellStart"/>
            <w:r w:rsidRPr="00D107EF">
              <w:rPr>
                <w:color w:val="000000"/>
                <w:sz w:val="20"/>
                <w:szCs w:val="20"/>
              </w:rPr>
              <w:t>QTc</w:t>
            </w:r>
            <w:proofErr w:type="spellEnd"/>
            <w:r w:rsidRPr="00D107EF">
              <w:rPr>
                <w:color w:val="000000"/>
                <w:sz w:val="20"/>
                <w:szCs w:val="20"/>
              </w:rPr>
              <w:t>&gt;470 milisekund u kobiet lub&gt;450 milisekund u mężczyzn);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10"/>
              </w:numPr>
              <w:spacing w:before="120" w:after="120"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wywiad w kierunku objawowej bradykardii lub nawracających omdleń;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10"/>
              </w:numPr>
              <w:spacing w:before="120" w:after="120"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choroba naczyń mózgowych;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10"/>
              </w:numPr>
              <w:spacing w:before="120" w:after="120"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wywiad w kierunku zastoinowej niewydolności krążenia;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10"/>
              </w:numPr>
              <w:spacing w:before="120" w:after="120"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wywiad w kierunku zatrzymania krążenia;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10"/>
              </w:numPr>
              <w:spacing w:before="120" w:after="120"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niekontrolowane nadciśnienie tętnicze;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10"/>
              </w:numPr>
              <w:spacing w:before="120" w:after="120"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ciężki zespół bezdechu sennego;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10"/>
              </w:numPr>
              <w:spacing w:before="120" w:after="120"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 xml:space="preserve">obrzęk plamki żółtej. </w:t>
            </w:r>
          </w:p>
          <w:p w:rsidR="00783659" w:rsidRPr="00D107EF" w:rsidRDefault="00783659" w:rsidP="00D107EF">
            <w:pPr>
              <w:pStyle w:val="Akapitzlist"/>
              <w:spacing w:before="120" w:after="120" w:line="276" w:lineRule="auto"/>
              <w:ind w:left="567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Ze względu na zwiększone ryzyko wystąpienia obrzęku plamki żółtej lek należy stosować ostrożnie u pacjentów z wywiadem w kierunku cukrzycy oraz zapalenia błony naczyniowej oka.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20"/>
              </w:numPr>
              <w:spacing w:before="120" w:after="120" w:line="276" w:lineRule="auto"/>
              <w:ind w:left="284" w:hanging="284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 xml:space="preserve">U pacjentów przyjmujących następujące leki </w:t>
            </w:r>
            <w:proofErr w:type="spellStart"/>
            <w:r w:rsidRPr="00D107EF">
              <w:rPr>
                <w:color w:val="000000"/>
                <w:sz w:val="20"/>
                <w:szCs w:val="20"/>
              </w:rPr>
              <w:t>przeciwarytmiczne</w:t>
            </w:r>
            <w:proofErr w:type="spellEnd"/>
            <w:r w:rsidRPr="00D107EF">
              <w:rPr>
                <w:color w:val="000000"/>
                <w:sz w:val="20"/>
                <w:szCs w:val="20"/>
              </w:rPr>
              <w:t xml:space="preserve"> lub zwalniające rytm serca:</w:t>
            </w:r>
          </w:p>
          <w:p w:rsidR="00783659" w:rsidRPr="00D107EF" w:rsidRDefault="00783659" w:rsidP="003872CD">
            <w:pPr>
              <w:pStyle w:val="Akapitzlist"/>
              <w:numPr>
                <w:ilvl w:val="1"/>
                <w:numId w:val="21"/>
              </w:numPr>
              <w:spacing w:before="120" w:after="120"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leki beta-</w:t>
            </w:r>
            <w:proofErr w:type="spellStart"/>
            <w:r w:rsidRPr="00D107EF">
              <w:rPr>
                <w:color w:val="000000"/>
                <w:sz w:val="20"/>
                <w:szCs w:val="20"/>
              </w:rPr>
              <w:t>adrenolityczne</w:t>
            </w:r>
            <w:proofErr w:type="spellEnd"/>
            <w:r w:rsidRPr="00D107EF">
              <w:rPr>
                <w:color w:val="000000"/>
                <w:sz w:val="20"/>
                <w:szCs w:val="20"/>
              </w:rPr>
              <w:t>;</w:t>
            </w:r>
          </w:p>
          <w:p w:rsidR="00783659" w:rsidRPr="00D107EF" w:rsidRDefault="00783659" w:rsidP="003872CD">
            <w:pPr>
              <w:pStyle w:val="Akapitzlist"/>
              <w:numPr>
                <w:ilvl w:val="1"/>
                <w:numId w:val="21"/>
              </w:numPr>
              <w:spacing w:before="120" w:after="120"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 xml:space="preserve">antagoniści kanału wapniowego zwalniający akcję serca (np. </w:t>
            </w:r>
            <w:proofErr w:type="spellStart"/>
            <w:r w:rsidRPr="00D107EF">
              <w:rPr>
                <w:color w:val="000000"/>
                <w:sz w:val="20"/>
                <w:szCs w:val="20"/>
              </w:rPr>
              <w:t>werapamil</w:t>
            </w:r>
            <w:proofErr w:type="spellEnd"/>
            <w:r w:rsidRPr="00D107E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107EF">
              <w:rPr>
                <w:color w:val="000000"/>
                <w:sz w:val="20"/>
                <w:szCs w:val="20"/>
              </w:rPr>
              <w:t>diltiazem</w:t>
            </w:r>
            <w:proofErr w:type="spellEnd"/>
            <w:r w:rsidRPr="00D107EF">
              <w:rPr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Pr="00D107EF">
              <w:rPr>
                <w:color w:val="000000"/>
                <w:sz w:val="20"/>
                <w:szCs w:val="20"/>
              </w:rPr>
              <w:t>iwabradyna</w:t>
            </w:r>
            <w:proofErr w:type="spellEnd"/>
            <w:r w:rsidRPr="00D107EF">
              <w:rPr>
                <w:color w:val="000000"/>
                <w:sz w:val="20"/>
                <w:szCs w:val="20"/>
              </w:rPr>
              <w:t>);</w:t>
            </w:r>
          </w:p>
          <w:p w:rsidR="00783659" w:rsidRPr="00D107EF" w:rsidRDefault="00783659" w:rsidP="003872CD">
            <w:pPr>
              <w:pStyle w:val="Akapitzlist"/>
              <w:numPr>
                <w:ilvl w:val="1"/>
                <w:numId w:val="21"/>
              </w:numPr>
              <w:spacing w:before="120" w:after="120"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lastRenderedPageBreak/>
              <w:t xml:space="preserve">inne substancje mogące zwalniać akcję serca </w:t>
            </w:r>
            <w:r w:rsidRPr="00D107EF">
              <w:rPr>
                <w:color w:val="000000"/>
                <w:sz w:val="20"/>
                <w:szCs w:val="20"/>
              </w:rPr>
              <w:br/>
              <w:t xml:space="preserve">(np. </w:t>
            </w:r>
            <w:proofErr w:type="spellStart"/>
            <w:r w:rsidRPr="00D107EF">
              <w:rPr>
                <w:color w:val="000000"/>
                <w:sz w:val="20"/>
                <w:szCs w:val="20"/>
              </w:rPr>
              <w:t>digoksyna</w:t>
            </w:r>
            <w:proofErr w:type="spellEnd"/>
            <w:r w:rsidRPr="00D107EF">
              <w:rPr>
                <w:color w:val="000000"/>
                <w:sz w:val="20"/>
                <w:szCs w:val="20"/>
              </w:rPr>
              <w:t>, antagoniści cholinoesterazy lub pilokarpina).</w:t>
            </w:r>
          </w:p>
          <w:p w:rsidR="00783659" w:rsidRPr="00D107EF" w:rsidRDefault="00783659" w:rsidP="00D107EF">
            <w:pPr>
              <w:spacing w:before="120" w:after="120"/>
              <w:ind w:left="360" w:hanging="36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="00CB413C" w:rsidRPr="00D107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 Kryteria wyłączenia</w:t>
            </w:r>
          </w:p>
          <w:p w:rsidR="00783659" w:rsidRPr="00D107EF" w:rsidRDefault="00783659" w:rsidP="00D107EF">
            <w:pPr>
              <w:spacing w:before="120" w:after="12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Kryterium wyłączenia z leczenia </w:t>
            </w:r>
            <w:proofErr w:type="spellStart"/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fingolimodem</w:t>
            </w:r>
            <w:proofErr w:type="spellEnd"/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jest spełnienie co najmniej jednego z niżej wymienionych kryteriów:</w:t>
            </w:r>
          </w:p>
          <w:p w:rsidR="00783659" w:rsidRPr="00D107EF" w:rsidRDefault="00783659" w:rsidP="003872CD">
            <w:pPr>
              <w:numPr>
                <w:ilvl w:val="0"/>
                <w:numId w:val="9"/>
              </w:numPr>
              <w:spacing w:before="120" w:after="120"/>
              <w:ind w:left="284" w:hanging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Rezygnacja pacjenta </w:t>
            </w:r>
          </w:p>
          <w:p w:rsidR="00783659" w:rsidRPr="00D107EF" w:rsidRDefault="00783659" w:rsidP="003872CD">
            <w:pPr>
              <w:numPr>
                <w:ilvl w:val="0"/>
                <w:numId w:val="9"/>
              </w:numPr>
              <w:spacing w:before="120" w:after="120"/>
              <w:ind w:left="284" w:hanging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Ciąża;</w:t>
            </w:r>
          </w:p>
          <w:p w:rsidR="00783659" w:rsidRPr="00D107EF" w:rsidRDefault="00783659" w:rsidP="003872CD">
            <w:pPr>
              <w:numPr>
                <w:ilvl w:val="0"/>
                <w:numId w:val="9"/>
              </w:numPr>
              <w:spacing w:before="120" w:after="120"/>
              <w:ind w:left="284" w:hanging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Spełnienie kryteriów nieskuteczności leczenia zawartych w pkt 5;</w:t>
            </w:r>
          </w:p>
          <w:p w:rsidR="00783659" w:rsidRPr="00D107EF" w:rsidRDefault="00783659" w:rsidP="003872CD">
            <w:pPr>
              <w:numPr>
                <w:ilvl w:val="0"/>
                <w:numId w:val="9"/>
              </w:numPr>
              <w:spacing w:before="120" w:after="120"/>
              <w:ind w:left="284" w:hanging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Utrzymujący się, spadek liczby limfocytów poniżej 0.2 x 10</w:t>
            </w: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9</w:t>
            </w: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/l;</w:t>
            </w:r>
          </w:p>
          <w:p w:rsidR="00783659" w:rsidRPr="00D107EF" w:rsidRDefault="00783659" w:rsidP="003872CD">
            <w:pPr>
              <w:numPr>
                <w:ilvl w:val="0"/>
                <w:numId w:val="9"/>
              </w:numPr>
              <w:spacing w:before="120" w:after="120"/>
              <w:ind w:left="284" w:hanging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Utrzymujące się i niebędące wynikiem innego procesu chorobowego zwiększenie aktywności </w:t>
            </w:r>
            <w:proofErr w:type="spellStart"/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aminotransferaz</w:t>
            </w:r>
            <w:proofErr w:type="spellEnd"/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wątrobowych powyżej pięciokrotności górnej granicy normy lub zwiększenie stężenia bilirubiny w surowicy;</w:t>
            </w:r>
          </w:p>
          <w:p w:rsidR="00783659" w:rsidRPr="00D107EF" w:rsidRDefault="00783659" w:rsidP="003872CD">
            <w:pPr>
              <w:numPr>
                <w:ilvl w:val="0"/>
                <w:numId w:val="9"/>
              </w:numPr>
              <w:spacing w:before="120" w:after="120"/>
              <w:ind w:left="284" w:hanging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Wystąpienie innych zdarzeń niepożądanych związanych z leczeniem, niepoddających się rutynowemu postępowaniu;</w:t>
            </w:r>
          </w:p>
          <w:p w:rsidR="00783659" w:rsidRPr="00D107EF" w:rsidRDefault="00783659" w:rsidP="003872CD">
            <w:pPr>
              <w:numPr>
                <w:ilvl w:val="0"/>
                <w:numId w:val="9"/>
              </w:numPr>
              <w:spacing w:before="120" w:after="120"/>
              <w:ind w:left="284" w:hanging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Przejście w postać wtórnie postępującą</w:t>
            </w: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78668B" w:rsidRPr="00D107EF" w:rsidRDefault="0078668B" w:rsidP="00D107EF">
            <w:pPr>
              <w:spacing w:before="120" w:after="120"/>
              <w:ind w:left="578" w:hanging="57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5. Określenie czasu leczenia w programie: </w:t>
            </w:r>
          </w:p>
          <w:p w:rsidR="0078668B" w:rsidRPr="00D107EF" w:rsidRDefault="0078668B" w:rsidP="00D107EF">
            <w:pPr>
              <w:spacing w:before="120"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Ocenę skuteczności leczenia przeprowadza się po każdych pełnych 12 miesiącach terapii. </w:t>
            </w:r>
          </w:p>
          <w:p w:rsidR="0078668B" w:rsidRPr="00D107EF" w:rsidRDefault="0078668B" w:rsidP="00D107EF">
            <w:pPr>
              <w:spacing w:before="120"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 chorych odpowiadających na leczenie po ocenie skuteczności, terapię </w:t>
            </w:r>
            <w:proofErr w:type="spellStart"/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fingolimodem</w:t>
            </w:r>
            <w:proofErr w:type="spellEnd"/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można przedłużać o kolejne 12 miesięcy. </w:t>
            </w:r>
          </w:p>
          <w:p w:rsidR="0078668B" w:rsidRPr="00D107EF" w:rsidRDefault="0078668B" w:rsidP="00D107EF">
            <w:pPr>
              <w:spacing w:before="120"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Łączny czas leczenia pacjenta, lekami modyfikującymi przebieg choroby, zależy od decyzji lekarza.</w:t>
            </w:r>
          </w:p>
          <w:p w:rsidR="0078668B" w:rsidRPr="00D107EF" w:rsidRDefault="0078668B" w:rsidP="00D107EF">
            <w:pPr>
              <w:spacing w:before="120"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przypadku wystąpienia, w początkowym okresie leczenia, objawów niepożądanych lub ze względu na bezpieczeństwo chorego, dopuszcza się w ramach programu zamianę na lek o innym mechanizmie działania.</w:t>
            </w:r>
          </w:p>
          <w:p w:rsidR="0078668B" w:rsidRPr="00D107EF" w:rsidRDefault="0078668B" w:rsidP="00D107EF">
            <w:pPr>
              <w:spacing w:before="120"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Przesłanki do zmiany terapii, wymienione w poprzednim zdaniu nie są tożsame z brakiem skuteczności wdrożonego leczenia.</w:t>
            </w:r>
          </w:p>
          <w:p w:rsidR="0078668B" w:rsidRPr="00D107EF" w:rsidRDefault="0078668B" w:rsidP="00D107EF">
            <w:pPr>
              <w:spacing w:before="120"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Za brak skuteczności leczenia </w:t>
            </w:r>
            <w:proofErr w:type="spellStart"/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fingolimodem</w:t>
            </w:r>
            <w:proofErr w:type="spellEnd"/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uzasadniający zmianę leczenia lub przerwanie leczenia,  przyjmuje się wystąpienie jednej z poniższych sytuacji:</w:t>
            </w:r>
          </w:p>
          <w:p w:rsidR="0078668B" w:rsidRPr="00D107EF" w:rsidRDefault="0078668B" w:rsidP="00D107EF">
            <w:pPr>
              <w:spacing w:before="120"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Przejście w postać wtórnie postępującą lub</w:t>
            </w:r>
          </w:p>
          <w:p w:rsidR="0078668B" w:rsidRPr="00D107EF" w:rsidRDefault="0078668B" w:rsidP="00D107EF">
            <w:pPr>
              <w:spacing w:before="120" w:after="120"/>
              <w:ind w:left="578" w:hanging="57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Wystąpienie 2 z 3 poniższych  kryteriów:</w:t>
            </w:r>
          </w:p>
          <w:p w:rsidR="0078668B" w:rsidRPr="00D107EF" w:rsidRDefault="0078668B" w:rsidP="00D107EF">
            <w:pPr>
              <w:spacing w:before="120" w:after="120"/>
              <w:ind w:left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a) liczba i ciężkość rzutów:</w:t>
            </w:r>
          </w:p>
          <w:p w:rsidR="0078668B" w:rsidRPr="00D107EF" w:rsidRDefault="0078668B" w:rsidP="00D107EF">
            <w:pPr>
              <w:spacing w:before="120" w:after="120"/>
              <w:ind w:left="57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- 2 lub więcej rzutów umiarkowanych wymagających leczenia sterydami (wzrost EDSS o 1 do 2 pkt lub wzrost o 2 pkt w zakresie jednego lub dwóch układów funkcjonalnych lub o 1 pkt w zakresie czterech lub większej liczbie układów funkcjonalnych) lub </w:t>
            </w:r>
          </w:p>
          <w:p w:rsidR="0078668B" w:rsidRPr="00D107EF" w:rsidRDefault="0078668B" w:rsidP="00D107EF">
            <w:pPr>
              <w:spacing w:before="120" w:after="120"/>
              <w:ind w:left="57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1 ciężki rzut  wymagający leczenia sterydami po 6 miesiącach leczenia (wzrost EDSS większy niż w definicji rzutu umiarkowanego),</w:t>
            </w:r>
          </w:p>
          <w:p w:rsidR="0078668B" w:rsidRPr="00D107EF" w:rsidRDefault="0078668B" w:rsidP="00D107EF">
            <w:pPr>
              <w:spacing w:before="120" w:after="120"/>
              <w:ind w:left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b) progresja choroby mimo leczenia, co oznacza utrzymujące się przez co najmniej 3 miesiące pogorszenie się stanu neurologicznego o co najmniej:</w:t>
            </w:r>
          </w:p>
          <w:p w:rsidR="0078668B" w:rsidRPr="00D107EF" w:rsidRDefault="0078668B" w:rsidP="00D107EF">
            <w:pPr>
              <w:spacing w:before="120" w:after="120"/>
              <w:ind w:left="57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- 2 pkt EDSS, gdy EDSS do 3,5,</w:t>
            </w:r>
          </w:p>
          <w:p w:rsidR="0078668B" w:rsidRPr="00D107EF" w:rsidRDefault="0078668B" w:rsidP="00D107EF">
            <w:pPr>
              <w:spacing w:before="120" w:after="120"/>
              <w:ind w:left="57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- 1 pkt EDSS, gdy EDSS od 4,0;</w:t>
            </w:r>
          </w:p>
          <w:p w:rsidR="0078668B" w:rsidRPr="00D107EF" w:rsidRDefault="0078668B" w:rsidP="00D107EF">
            <w:pPr>
              <w:spacing w:before="120" w:after="120"/>
              <w:ind w:left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c) zmiany w badaniu rezonansu magnetycznego wykonanym po każdych 12 miesiącach, gdy stwierdza się jedno z poniższych:</w:t>
            </w:r>
          </w:p>
          <w:p w:rsidR="0078668B" w:rsidRPr="00D107EF" w:rsidRDefault="0078668B" w:rsidP="00D107EF">
            <w:pPr>
              <w:spacing w:before="120" w:after="120"/>
              <w:ind w:left="57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więcej niż jedna nowa zmiana Gd (+),   </w:t>
            </w:r>
          </w:p>
          <w:p w:rsidR="0078668B" w:rsidRPr="00D107EF" w:rsidRDefault="0078668B" w:rsidP="00D107EF">
            <w:pPr>
              <w:spacing w:before="120" w:after="120"/>
              <w:ind w:left="57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więcej niż dwie nowe zmiany w sekwencji T2.</w:t>
            </w:r>
          </w:p>
          <w:p w:rsidR="0078668B" w:rsidRPr="00D107EF" w:rsidRDefault="0078668B" w:rsidP="00D107EF">
            <w:pPr>
              <w:spacing w:before="120"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6. Kryteria przedłużenia</w:t>
            </w:r>
            <w:r w:rsidR="00CB413C" w:rsidRPr="00D107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leczenia o kolejne 12 miesięcy</w:t>
            </w:r>
          </w:p>
          <w:p w:rsidR="0078668B" w:rsidRPr="00D107EF" w:rsidRDefault="0078668B" w:rsidP="00D107EF">
            <w:pPr>
              <w:spacing w:before="120"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Leczenie może zostać przedłużone o kolejne 12 </w:t>
            </w: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miesięcy, jeżeli </w:t>
            </w: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zostaną spełnione 2 z 3 niżej wymienionych kryteriów: </w:t>
            </w:r>
          </w:p>
          <w:p w:rsidR="0078668B" w:rsidRPr="00D107EF" w:rsidRDefault="0078668B" w:rsidP="003872CD">
            <w:pPr>
              <w:pStyle w:val="Akapitzlist"/>
              <w:numPr>
                <w:ilvl w:val="0"/>
                <w:numId w:val="14"/>
              </w:numPr>
              <w:spacing w:before="120" w:after="120" w:line="276" w:lineRule="auto"/>
              <w:ind w:left="426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liczba i ciężkość rzutów:</w:t>
            </w:r>
          </w:p>
          <w:p w:rsidR="0078668B" w:rsidRPr="00D107EF" w:rsidRDefault="0078668B" w:rsidP="00D107EF">
            <w:pPr>
              <w:pStyle w:val="Akapitzlist"/>
              <w:spacing w:before="120" w:after="120" w:line="276" w:lineRule="auto"/>
              <w:ind w:left="426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 xml:space="preserve">- brak rzutów lub rzuty łagodne (wzrost EDSS </w:t>
            </w:r>
            <w:r w:rsidRPr="00D107EF">
              <w:rPr>
                <w:sz w:val="20"/>
                <w:szCs w:val="20"/>
              </w:rPr>
              <w:t xml:space="preserve">w trakcie rzutu </w:t>
            </w:r>
            <w:r w:rsidRPr="00D107EF">
              <w:rPr>
                <w:color w:val="000000"/>
                <w:sz w:val="20"/>
                <w:szCs w:val="20"/>
              </w:rPr>
              <w:t xml:space="preserve">o 0.5 pkt lub o 1 pkt w zakresie jednego do trzech układów funkcjonalnych) lub </w:t>
            </w:r>
          </w:p>
          <w:p w:rsidR="0078668B" w:rsidRPr="00D107EF" w:rsidRDefault="0078668B" w:rsidP="00D107EF">
            <w:pPr>
              <w:pStyle w:val="Akapitzlist"/>
              <w:spacing w:before="120" w:after="120" w:line="276" w:lineRule="auto"/>
              <w:ind w:left="426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 xml:space="preserve">- 1 rzut umiarkowany (wzrost EDSS </w:t>
            </w:r>
            <w:r w:rsidRPr="00D107EF">
              <w:rPr>
                <w:sz w:val="20"/>
                <w:szCs w:val="20"/>
              </w:rPr>
              <w:t xml:space="preserve">w trakcie rzutu </w:t>
            </w:r>
            <w:r w:rsidRPr="00D107EF">
              <w:rPr>
                <w:color w:val="000000"/>
                <w:sz w:val="20"/>
                <w:szCs w:val="20"/>
              </w:rPr>
              <w:t xml:space="preserve">o 1 do 2 pkt lub 2 pkt w zakresie jednego do dwóch układów funkcjonalnych lub o 1 pkt w czterech lub większej liczbie układów funkcjonalnych) lub </w:t>
            </w:r>
          </w:p>
          <w:p w:rsidR="0078668B" w:rsidRPr="00D107EF" w:rsidRDefault="0078668B" w:rsidP="003872CD">
            <w:pPr>
              <w:pStyle w:val="Akapitzlist"/>
              <w:numPr>
                <w:ilvl w:val="0"/>
                <w:numId w:val="14"/>
              </w:numPr>
              <w:spacing w:before="120" w:after="120" w:line="276" w:lineRule="auto"/>
              <w:ind w:left="426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brak progresji choroby w okresie ostatniego roku leczenia: różnica w skali EDSS poniżej 1 pkt;</w:t>
            </w:r>
          </w:p>
          <w:p w:rsidR="0078668B" w:rsidRPr="00D107EF" w:rsidRDefault="0078668B" w:rsidP="003872CD">
            <w:pPr>
              <w:pStyle w:val="Akapitzlist"/>
              <w:numPr>
                <w:ilvl w:val="0"/>
                <w:numId w:val="14"/>
              </w:numPr>
              <w:spacing w:before="120" w:after="120" w:line="276" w:lineRule="auto"/>
              <w:ind w:left="426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brak wyraźnych cech aktywności i progresji choroby w badaniu MRI z podaniem kontrastu  (nie więcej niż jedna nowa zmiana Gd+ lub dwie nowe zmiany w sekwencji T2).</w:t>
            </w:r>
          </w:p>
          <w:p w:rsidR="00783659" w:rsidRPr="00D107EF" w:rsidRDefault="00286DAA" w:rsidP="00D107EF">
            <w:pPr>
              <w:pStyle w:val="Akapitzlist"/>
              <w:spacing w:before="120" w:after="120" w:line="276" w:lineRule="auto"/>
              <w:ind w:left="0"/>
              <w:rPr>
                <w:b/>
                <w:bCs/>
                <w:color w:val="000000"/>
                <w:sz w:val="20"/>
                <w:szCs w:val="20"/>
              </w:rPr>
            </w:pPr>
            <w:r w:rsidRPr="00D107EF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7.</w:t>
            </w:r>
            <w:r w:rsidRPr="00D107EF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659" w:rsidRPr="00D107EF">
              <w:rPr>
                <w:b/>
                <w:bCs/>
                <w:color w:val="000000"/>
                <w:sz w:val="20"/>
                <w:szCs w:val="20"/>
              </w:rPr>
              <w:t xml:space="preserve">Kryteria kwalifikacji do leczenia </w:t>
            </w:r>
            <w:proofErr w:type="spellStart"/>
            <w:r w:rsidR="00CB413C" w:rsidRPr="00D107EF">
              <w:rPr>
                <w:b/>
                <w:bCs/>
                <w:color w:val="000000"/>
                <w:sz w:val="20"/>
                <w:szCs w:val="20"/>
              </w:rPr>
              <w:t>natalizumabem</w:t>
            </w:r>
            <w:proofErr w:type="spellEnd"/>
            <w:r w:rsidR="00CB413C" w:rsidRPr="00D107EF">
              <w:rPr>
                <w:b/>
                <w:bCs/>
                <w:color w:val="000000"/>
                <w:sz w:val="20"/>
                <w:szCs w:val="20"/>
              </w:rPr>
              <w:t xml:space="preserve"> w ramach programu</w:t>
            </w:r>
          </w:p>
          <w:p w:rsidR="00783659" w:rsidRPr="00D107EF" w:rsidRDefault="00783659" w:rsidP="00D107EF">
            <w:pPr>
              <w:spacing w:before="120"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Do leczenia substancją czynną </w:t>
            </w:r>
            <w:proofErr w:type="spellStart"/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natalizumab</w:t>
            </w:r>
            <w:proofErr w:type="spellEnd"/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kwalifikowani są pacjenci spełniający łącznie następujące kryteria:</w:t>
            </w:r>
          </w:p>
          <w:p w:rsidR="00783659" w:rsidRPr="00D107EF" w:rsidRDefault="00783659" w:rsidP="00D107EF">
            <w:pPr>
              <w:pStyle w:val="Akapitzlist"/>
              <w:spacing w:before="120" w:after="120" w:line="276" w:lineRule="auto"/>
              <w:ind w:left="0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7</w:t>
            </w:r>
            <w:r w:rsidR="00FF535E" w:rsidRPr="00D107EF">
              <w:rPr>
                <w:color w:val="000000"/>
                <w:sz w:val="20"/>
                <w:szCs w:val="20"/>
              </w:rPr>
              <w:t>.1. Wiek od 12</w:t>
            </w:r>
            <w:r w:rsidRPr="00D107EF">
              <w:rPr>
                <w:color w:val="000000"/>
                <w:sz w:val="20"/>
                <w:szCs w:val="20"/>
              </w:rPr>
              <w:t xml:space="preserve"> roku życia;</w:t>
            </w:r>
          </w:p>
          <w:p w:rsidR="00783659" w:rsidRPr="00D107EF" w:rsidRDefault="00783659" w:rsidP="00D107EF">
            <w:pPr>
              <w:pStyle w:val="Akapitzlist"/>
              <w:spacing w:before="120" w:after="120" w:line="276" w:lineRule="auto"/>
              <w:ind w:left="0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 xml:space="preserve">7.2. Rozpoznanie postaci rzutowej (nawracająco-ustępującej) stwardnienia rozsianego – oparte na </w:t>
            </w:r>
            <w:r w:rsidR="00D87CA5">
              <w:rPr>
                <w:color w:val="000000"/>
                <w:sz w:val="20"/>
                <w:szCs w:val="20"/>
              </w:rPr>
              <w:t xml:space="preserve">aktualnych </w:t>
            </w:r>
            <w:r w:rsidRPr="00D107EF">
              <w:rPr>
                <w:color w:val="000000"/>
                <w:sz w:val="20"/>
                <w:szCs w:val="20"/>
              </w:rPr>
              <w:t>kryter</w:t>
            </w:r>
            <w:r w:rsidR="00D87CA5">
              <w:rPr>
                <w:color w:val="000000"/>
                <w:sz w:val="20"/>
                <w:szCs w:val="20"/>
              </w:rPr>
              <w:t xml:space="preserve">iach diagnostycznych McDonalda </w:t>
            </w:r>
            <w:r w:rsidRPr="00D107EF">
              <w:rPr>
                <w:color w:val="000000"/>
                <w:sz w:val="20"/>
                <w:szCs w:val="20"/>
              </w:rPr>
              <w:t>i speł</w:t>
            </w:r>
            <w:r w:rsidR="00D87CA5">
              <w:rPr>
                <w:color w:val="000000"/>
                <w:sz w:val="20"/>
                <w:szCs w:val="20"/>
              </w:rPr>
              <w:t xml:space="preserve">nianie kryteriów określonych w </w:t>
            </w:r>
            <w:r w:rsidRPr="00D107EF">
              <w:rPr>
                <w:color w:val="000000"/>
                <w:sz w:val="20"/>
                <w:szCs w:val="20"/>
              </w:rPr>
              <w:t>pkt. 7.3. albo pkt.7.4.;</w:t>
            </w:r>
          </w:p>
          <w:p w:rsidR="00783659" w:rsidRPr="00D107EF" w:rsidRDefault="00783659" w:rsidP="00D107EF">
            <w:pPr>
              <w:pStyle w:val="Akapitzlist"/>
              <w:spacing w:before="120" w:after="120" w:line="276" w:lineRule="auto"/>
              <w:ind w:left="0"/>
              <w:rPr>
                <w:bCs/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7.3. Pacjenci, u których stwierdza się brak skuteczności terapii</w:t>
            </w:r>
            <w:r w:rsidR="00815DC3" w:rsidRPr="00D107EF">
              <w:rPr>
                <w:color w:val="000000"/>
                <w:sz w:val="20"/>
                <w:szCs w:val="20"/>
              </w:rPr>
              <w:t xml:space="preserve"> leczenia </w:t>
            </w:r>
            <w:r w:rsidR="00815DC3" w:rsidRPr="00D107EF">
              <w:rPr>
                <w:bCs/>
                <w:color w:val="000000"/>
                <w:sz w:val="20"/>
                <w:szCs w:val="20"/>
              </w:rPr>
              <w:t xml:space="preserve">interferonem beta lub PEG-interferonem beta-1a lub octanem </w:t>
            </w:r>
            <w:proofErr w:type="spellStart"/>
            <w:r w:rsidR="00815DC3" w:rsidRPr="00D107EF">
              <w:rPr>
                <w:bCs/>
                <w:color w:val="000000"/>
                <w:sz w:val="20"/>
                <w:szCs w:val="20"/>
              </w:rPr>
              <w:t>gl</w:t>
            </w:r>
            <w:r w:rsidR="00F804A9" w:rsidRPr="00D107EF">
              <w:rPr>
                <w:bCs/>
                <w:color w:val="000000"/>
                <w:sz w:val="20"/>
                <w:szCs w:val="20"/>
              </w:rPr>
              <w:t>a</w:t>
            </w:r>
            <w:r w:rsidR="000727A2" w:rsidRPr="00D107EF">
              <w:rPr>
                <w:bCs/>
                <w:color w:val="000000"/>
                <w:sz w:val="20"/>
                <w:szCs w:val="20"/>
              </w:rPr>
              <w:t>tirameru</w:t>
            </w:r>
            <w:proofErr w:type="spellEnd"/>
            <w:r w:rsidR="000727A2" w:rsidRPr="00D107EF">
              <w:rPr>
                <w:bCs/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="000727A2" w:rsidRPr="00D107EF">
              <w:rPr>
                <w:bCs/>
                <w:color w:val="000000"/>
                <w:sz w:val="20"/>
                <w:szCs w:val="20"/>
              </w:rPr>
              <w:t>fumaranem</w:t>
            </w:r>
            <w:proofErr w:type="spellEnd"/>
            <w:r w:rsidR="000727A2" w:rsidRPr="00D107EF">
              <w:rPr>
                <w:bCs/>
                <w:color w:val="000000"/>
                <w:sz w:val="20"/>
                <w:szCs w:val="20"/>
              </w:rPr>
              <w:t xml:space="preserve"> dimetylu </w:t>
            </w:r>
            <w:r w:rsidR="00E94E8C" w:rsidRPr="00D107EF">
              <w:rPr>
                <w:bCs/>
                <w:color w:val="000000"/>
                <w:sz w:val="20"/>
                <w:szCs w:val="20"/>
              </w:rPr>
              <w:t xml:space="preserve">lub </w:t>
            </w:r>
            <w:proofErr w:type="spellStart"/>
            <w:r w:rsidR="00E94E8C" w:rsidRPr="00D107EF">
              <w:rPr>
                <w:bCs/>
                <w:color w:val="000000"/>
                <w:sz w:val="20"/>
                <w:szCs w:val="20"/>
              </w:rPr>
              <w:t>teryflunomidem</w:t>
            </w:r>
            <w:proofErr w:type="spellEnd"/>
            <w:r w:rsidR="00E94E8C" w:rsidRPr="00D107EF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02176" w:rsidRPr="00D107EF">
              <w:rPr>
                <w:bCs/>
                <w:color w:val="000000"/>
                <w:sz w:val="20"/>
                <w:szCs w:val="20"/>
              </w:rPr>
              <w:t>po minimum 12-tu miesiącach terapii</w:t>
            </w:r>
            <w:r w:rsidRPr="00D107EF">
              <w:rPr>
                <w:color w:val="000000"/>
                <w:sz w:val="20"/>
                <w:szCs w:val="20"/>
              </w:rPr>
              <w:t>, definiowany jako spełnienie obu poniższych warunków: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11"/>
              </w:numPr>
              <w:spacing w:before="120" w:after="120" w:line="276" w:lineRule="auto"/>
              <w:ind w:left="360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liczba i ciężkość rzutów:</w:t>
            </w:r>
          </w:p>
          <w:p w:rsidR="00783659" w:rsidRPr="00D107EF" w:rsidRDefault="00783659" w:rsidP="003872CD">
            <w:pPr>
              <w:pStyle w:val="Akapitzlist"/>
              <w:numPr>
                <w:ilvl w:val="1"/>
                <w:numId w:val="18"/>
              </w:numPr>
              <w:spacing w:before="120" w:after="120" w:line="276" w:lineRule="auto"/>
              <w:ind w:left="709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2 lub więcej rzutów umiarkowanych wymagających leczenia sterydami (wzrost EDSS o 1 do 2 pkt lub wzrost o 2 pkt w zakresie jednego lub dwóch układów funkcjonalnych lub o 1 pkt w czterech lub  większej liczbie układów funkcjonalnych)  lub</w:t>
            </w:r>
          </w:p>
          <w:p w:rsidR="00783659" w:rsidRPr="00D107EF" w:rsidRDefault="00783659" w:rsidP="003872CD">
            <w:pPr>
              <w:pStyle w:val="Akapitzlist"/>
              <w:numPr>
                <w:ilvl w:val="1"/>
                <w:numId w:val="18"/>
              </w:numPr>
              <w:spacing w:before="120" w:after="120" w:line="276" w:lineRule="auto"/>
              <w:ind w:left="709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1 ciężki rzut po 6 miesiącach wymagający leczenia sterydami (wzrost w EDSS większy niż w definicji rzutu umiarkowanego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11"/>
              </w:numPr>
              <w:spacing w:before="120" w:after="120" w:line="276" w:lineRule="auto"/>
              <w:ind w:left="426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 xml:space="preserve">zmiany w badaniu  rezonansu magnetycznego </w:t>
            </w:r>
            <w:r w:rsidRPr="00D107EF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107EF">
              <w:rPr>
                <w:color w:val="000000"/>
                <w:sz w:val="20"/>
                <w:szCs w:val="20"/>
              </w:rPr>
              <w:t>wykonanym  po każdych 12 miesiącach gdy stwierdza się jedno z poniższych: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12"/>
              </w:numPr>
              <w:spacing w:before="120" w:after="120" w:line="276" w:lineRule="auto"/>
              <w:ind w:left="754" w:hanging="357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 xml:space="preserve">więcej niż jedna nowa zmiana GD(+) 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12"/>
              </w:numPr>
              <w:spacing w:before="120" w:after="120" w:line="276" w:lineRule="auto"/>
              <w:ind w:left="754" w:hanging="357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więcej niż dwie nowe zmiany w sekwencji T2 (w sumie nie mniej niż 9 zmian);</w:t>
            </w:r>
          </w:p>
          <w:p w:rsidR="00783659" w:rsidRPr="00D107EF" w:rsidRDefault="00783659" w:rsidP="00D107EF">
            <w:pPr>
              <w:pStyle w:val="Akapitzlist"/>
              <w:spacing w:before="120" w:after="120" w:line="276" w:lineRule="auto"/>
              <w:ind w:left="0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7.4. Szybko rozwijająca  się, ciężka postać choroby rozpoznawana kiedy zostaną s</w:t>
            </w:r>
            <w:r w:rsidR="00D87CA5">
              <w:rPr>
                <w:color w:val="000000"/>
                <w:sz w:val="20"/>
                <w:szCs w:val="20"/>
              </w:rPr>
              <w:t>pełnione oba poniższe parametry</w:t>
            </w:r>
            <w:r w:rsidRPr="00D107EF">
              <w:rPr>
                <w:color w:val="000000"/>
                <w:sz w:val="20"/>
                <w:szCs w:val="20"/>
              </w:rPr>
              <w:t xml:space="preserve">: </w:t>
            </w:r>
          </w:p>
          <w:p w:rsidR="00783659" w:rsidRPr="00D107EF" w:rsidRDefault="00783659" w:rsidP="00D107EF">
            <w:pPr>
              <w:pStyle w:val="Akapitzlist"/>
              <w:spacing w:before="120" w:after="120" w:line="276" w:lineRule="auto"/>
              <w:ind w:left="426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a) liczba i ciężkość rzutów:</w:t>
            </w:r>
          </w:p>
          <w:p w:rsidR="00783659" w:rsidRPr="00D107EF" w:rsidRDefault="00783659" w:rsidP="00D107EF">
            <w:pPr>
              <w:pStyle w:val="Akapitzlist"/>
              <w:spacing w:before="120" w:after="120" w:line="276" w:lineRule="auto"/>
              <w:ind w:left="426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 xml:space="preserve"> -  co najmniej dwa  rzuty wymagające leczenia sterydami powodujące niesprawność (w czasie rzutu wzrost EDSS o minimum 2 pkt)</w:t>
            </w:r>
          </w:p>
          <w:p w:rsidR="00783659" w:rsidRPr="00D107EF" w:rsidRDefault="00783659" w:rsidP="00D107EF">
            <w:pPr>
              <w:pStyle w:val="Akapitzlist"/>
              <w:spacing w:before="120" w:after="120" w:line="276" w:lineRule="auto"/>
              <w:ind w:left="426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 xml:space="preserve">b) zmiany w badaniu  rezonansu magnetycznego            </w:t>
            </w:r>
          </w:p>
          <w:p w:rsidR="00783659" w:rsidRPr="00D107EF" w:rsidRDefault="00783659" w:rsidP="00D107EF">
            <w:pPr>
              <w:pStyle w:val="Akapitzlist"/>
              <w:spacing w:before="120" w:after="120" w:line="276" w:lineRule="auto"/>
              <w:ind w:left="426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- więcej niż jedna nowa zmiana GD(+) lub</w:t>
            </w:r>
          </w:p>
          <w:p w:rsidR="00783659" w:rsidRPr="00D107EF" w:rsidRDefault="00783659" w:rsidP="00D107EF">
            <w:pPr>
              <w:pStyle w:val="Akapitzlist"/>
              <w:spacing w:before="120" w:after="120" w:line="276" w:lineRule="auto"/>
              <w:ind w:left="426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- więcej niż dwie nowe zmiany w sekwencji T2  (w sumie nie mniej niż 9 zmian);</w:t>
            </w:r>
          </w:p>
          <w:p w:rsidR="00783659" w:rsidRPr="00D107EF" w:rsidRDefault="00783659" w:rsidP="00D107EF">
            <w:pPr>
              <w:pStyle w:val="Akapitzlist"/>
              <w:spacing w:before="120" w:after="120" w:line="276" w:lineRule="auto"/>
              <w:ind w:left="0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7.5. Zapoznanie się przez pacjenta z ustną i pisemną informacją dotyczącą programu. Podpisanie formularza świadomej  zgody przez pacjenta i lekarza prowadzącego. Jeden komplet dokumentów pozostaje w Ośrodku, drugi zostaje przekazany pacjentowi;</w:t>
            </w:r>
          </w:p>
          <w:p w:rsidR="00783659" w:rsidRPr="00D107EF" w:rsidRDefault="00783659" w:rsidP="00D107EF">
            <w:pPr>
              <w:pStyle w:val="Akapitzlist"/>
              <w:spacing w:before="120" w:after="120" w:line="276" w:lineRule="auto"/>
              <w:ind w:left="0"/>
              <w:rPr>
                <w:b/>
                <w:bCs/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7.6. Przekazanie i potwierdzenie otrzymania karty pacjenta</w:t>
            </w:r>
            <w:r w:rsidRPr="00D107EF">
              <w:rPr>
                <w:bCs/>
                <w:color w:val="000000"/>
                <w:sz w:val="20"/>
                <w:szCs w:val="20"/>
              </w:rPr>
              <w:t>;</w:t>
            </w:r>
          </w:p>
          <w:p w:rsidR="00770CE5" w:rsidRPr="00D107EF" w:rsidRDefault="001449D0" w:rsidP="00D107EF">
            <w:pPr>
              <w:pStyle w:val="Akapitzlist"/>
              <w:spacing w:before="120" w:after="120" w:line="276" w:lineRule="auto"/>
              <w:ind w:left="0"/>
              <w:rPr>
                <w:bCs/>
                <w:color w:val="000000"/>
                <w:sz w:val="20"/>
                <w:szCs w:val="20"/>
              </w:rPr>
            </w:pPr>
            <w:r w:rsidRPr="00D107EF">
              <w:rPr>
                <w:bCs/>
                <w:color w:val="000000"/>
                <w:sz w:val="20"/>
                <w:szCs w:val="20"/>
              </w:rPr>
              <w:t>Do programu włączane są, bez konieczności ponownej kwalifikacji, pacjentki wyłączone z programu w związku z ciążą, które w momencie wyłączenia spełniały pozostałe kryteria  leczenia w programie  oraz które na moment ponownego włączania do programu nie spełniają przeciwskazań do leczenia oraz kryteriów wyłączenia i spełniają pozostałe kryteria przedłużenia leczenia.</w:t>
            </w:r>
          </w:p>
          <w:p w:rsidR="00783659" w:rsidRPr="00D107EF" w:rsidRDefault="00B410F4" w:rsidP="00D107EF">
            <w:pPr>
              <w:pStyle w:val="Akapitzlist"/>
              <w:spacing w:before="120" w:after="120" w:line="276" w:lineRule="auto"/>
              <w:ind w:left="0"/>
              <w:rPr>
                <w:b/>
                <w:color w:val="000000"/>
                <w:sz w:val="20"/>
                <w:szCs w:val="20"/>
              </w:rPr>
            </w:pPr>
            <w:r w:rsidRPr="00D107EF">
              <w:rPr>
                <w:b/>
                <w:color w:val="000000"/>
                <w:sz w:val="20"/>
                <w:szCs w:val="20"/>
              </w:rPr>
              <w:t>8</w:t>
            </w:r>
            <w:r w:rsidR="00CA2A82" w:rsidRPr="00D107EF">
              <w:rPr>
                <w:b/>
                <w:color w:val="000000"/>
                <w:sz w:val="20"/>
                <w:szCs w:val="20"/>
              </w:rPr>
              <w:t>.</w:t>
            </w:r>
            <w:r w:rsidR="00CA2A82" w:rsidRPr="00D107EF">
              <w:rPr>
                <w:color w:val="000000"/>
                <w:sz w:val="20"/>
                <w:szCs w:val="20"/>
              </w:rPr>
              <w:t xml:space="preserve"> </w:t>
            </w:r>
            <w:r w:rsidR="00783659" w:rsidRPr="00D107EF">
              <w:rPr>
                <w:b/>
                <w:bCs/>
                <w:color w:val="000000"/>
                <w:sz w:val="20"/>
                <w:szCs w:val="20"/>
              </w:rPr>
              <w:t>Przeciwskaz</w:t>
            </w:r>
            <w:r w:rsidR="00CB413C" w:rsidRPr="00D107EF">
              <w:rPr>
                <w:b/>
                <w:bCs/>
                <w:color w:val="000000"/>
                <w:sz w:val="20"/>
                <w:szCs w:val="20"/>
              </w:rPr>
              <w:t xml:space="preserve">ania do stosowania </w:t>
            </w:r>
            <w:proofErr w:type="spellStart"/>
            <w:r w:rsidR="00CB413C" w:rsidRPr="00D107EF">
              <w:rPr>
                <w:b/>
                <w:bCs/>
                <w:color w:val="000000"/>
                <w:sz w:val="20"/>
                <w:szCs w:val="20"/>
              </w:rPr>
              <w:t>natalizumabu</w:t>
            </w:r>
            <w:proofErr w:type="spellEnd"/>
          </w:p>
          <w:p w:rsidR="00CD3C6D" w:rsidRPr="00D107EF" w:rsidRDefault="00A64CE2" w:rsidP="00D107EF">
            <w:pPr>
              <w:pStyle w:val="Akapitzlist"/>
              <w:spacing w:before="120" w:after="120" w:line="276" w:lineRule="auto"/>
              <w:ind w:left="0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 xml:space="preserve">U pacjentów </w:t>
            </w:r>
            <w:proofErr w:type="spellStart"/>
            <w:r w:rsidRPr="00D107EF">
              <w:rPr>
                <w:color w:val="000000"/>
                <w:sz w:val="20"/>
                <w:szCs w:val="20"/>
              </w:rPr>
              <w:t>spełniajacych</w:t>
            </w:r>
            <w:proofErr w:type="spellEnd"/>
            <w:r w:rsidRPr="00D107E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07EF">
              <w:rPr>
                <w:color w:val="000000"/>
                <w:sz w:val="20"/>
                <w:szCs w:val="20"/>
              </w:rPr>
              <w:t>conajmniej</w:t>
            </w:r>
            <w:proofErr w:type="spellEnd"/>
            <w:r w:rsidRPr="00D107EF">
              <w:rPr>
                <w:color w:val="000000"/>
                <w:sz w:val="20"/>
                <w:szCs w:val="20"/>
              </w:rPr>
              <w:t xml:space="preserve"> jedno kryterium z poniżej wymienionych:</w:t>
            </w:r>
          </w:p>
          <w:p w:rsidR="00783659" w:rsidRPr="00D107EF" w:rsidRDefault="00FF535E" w:rsidP="003872CD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ind w:left="360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 xml:space="preserve">Wiek poniżej 12 </w:t>
            </w:r>
            <w:r w:rsidR="00783659" w:rsidRPr="00D107EF">
              <w:rPr>
                <w:color w:val="000000"/>
                <w:sz w:val="20"/>
                <w:szCs w:val="20"/>
              </w:rPr>
              <w:t>roku życia;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ind w:left="360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Ciąża i karmienie piersią;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ind w:left="360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Postać wtórnie postępująca i pierwotnie postępująca SM;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ind w:left="360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 xml:space="preserve">Skojarzenie z interferonem beta,  octanem </w:t>
            </w:r>
            <w:proofErr w:type="spellStart"/>
            <w:r w:rsidRPr="00D107EF">
              <w:rPr>
                <w:color w:val="000000"/>
                <w:sz w:val="20"/>
                <w:szCs w:val="20"/>
              </w:rPr>
              <w:t>glatirameru</w:t>
            </w:r>
            <w:proofErr w:type="spellEnd"/>
            <w:r w:rsidRPr="00D107EF">
              <w:rPr>
                <w:color w:val="000000"/>
                <w:sz w:val="20"/>
                <w:szCs w:val="20"/>
              </w:rPr>
              <w:t>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ind w:left="360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 xml:space="preserve">Zwiększone ryzyko zakażeń oportunistycznych, w tym pacjenci z upośledzoną odpornością (obecnie leczeni lekami  immunosupresyjnymi lub z upośledzoną odpornością z powodu wcześniej stosowanej terapii, np. </w:t>
            </w:r>
            <w:proofErr w:type="spellStart"/>
            <w:r w:rsidRPr="00D107EF">
              <w:rPr>
                <w:color w:val="000000"/>
                <w:sz w:val="20"/>
                <w:szCs w:val="20"/>
              </w:rPr>
              <w:t>mitoksantronem</w:t>
            </w:r>
            <w:proofErr w:type="spellEnd"/>
            <w:r w:rsidRPr="00D107EF">
              <w:rPr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Pr="00D107EF">
              <w:rPr>
                <w:color w:val="000000"/>
                <w:sz w:val="20"/>
                <w:szCs w:val="20"/>
              </w:rPr>
              <w:t>cyklofosfamidem</w:t>
            </w:r>
            <w:proofErr w:type="spellEnd"/>
            <w:r w:rsidRPr="00D107EF">
              <w:rPr>
                <w:color w:val="000000"/>
                <w:sz w:val="20"/>
                <w:szCs w:val="20"/>
              </w:rPr>
              <w:t>). W przypadku braku zaburzeń odporności dopuszczalne jest leczenie po upłynięciu 6-ciu miesięcy od podania ostatniej dawki leku immunosupresyjnego;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ind w:left="360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Przeciwwskazania do wykonania rezonansu magnetycznego.</w:t>
            </w:r>
          </w:p>
          <w:p w:rsidR="00783659" w:rsidRPr="00D107EF" w:rsidRDefault="00B410F4" w:rsidP="00D107EF">
            <w:pPr>
              <w:pStyle w:val="Akapitzlist"/>
              <w:spacing w:before="120" w:after="120" w:line="276" w:lineRule="auto"/>
              <w:ind w:left="0"/>
              <w:rPr>
                <w:b/>
                <w:bCs/>
                <w:color w:val="000000"/>
                <w:sz w:val="20"/>
                <w:szCs w:val="20"/>
              </w:rPr>
            </w:pPr>
            <w:r w:rsidRPr="00D107EF">
              <w:rPr>
                <w:b/>
                <w:bCs/>
                <w:color w:val="000000"/>
                <w:sz w:val="20"/>
                <w:szCs w:val="20"/>
              </w:rPr>
              <w:t>9</w:t>
            </w:r>
            <w:r w:rsidR="00CA2A82" w:rsidRPr="00D107EF"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CB413C" w:rsidRPr="00D107EF">
              <w:rPr>
                <w:b/>
                <w:bCs/>
                <w:color w:val="000000"/>
                <w:sz w:val="20"/>
                <w:szCs w:val="20"/>
              </w:rPr>
              <w:t>Kryteria wyłączenia</w:t>
            </w:r>
          </w:p>
          <w:p w:rsidR="00CD3C6D" w:rsidRPr="00D107EF" w:rsidRDefault="00CD3C6D" w:rsidP="00D107EF">
            <w:pPr>
              <w:pStyle w:val="Akapitzlist"/>
              <w:spacing w:before="120" w:after="120" w:line="276" w:lineRule="auto"/>
              <w:ind w:left="0"/>
              <w:rPr>
                <w:b/>
                <w:bCs/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 xml:space="preserve">Kryterium wyłączenia z leczenia </w:t>
            </w:r>
            <w:proofErr w:type="spellStart"/>
            <w:r w:rsidRPr="00D107EF">
              <w:rPr>
                <w:color w:val="000000"/>
                <w:sz w:val="20"/>
                <w:szCs w:val="20"/>
              </w:rPr>
              <w:t>natalizumabem</w:t>
            </w:r>
            <w:proofErr w:type="spellEnd"/>
            <w:r w:rsidRPr="00D107EF">
              <w:rPr>
                <w:color w:val="000000"/>
                <w:sz w:val="20"/>
                <w:szCs w:val="20"/>
              </w:rPr>
              <w:t xml:space="preserve"> jest spełnienie co najmniej jednego z niżej wymienionych kryteriów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Rezygnacja pacjenta;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Ciąża.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Nieprzestrzeganie zasad leczenia- pominięcie dwóch kolejnych dawek;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Postępująca wieloogniskowa leukoencefalopatia (PML);</w:t>
            </w:r>
          </w:p>
          <w:p w:rsidR="00783659" w:rsidRPr="00D107EF" w:rsidRDefault="00783659" w:rsidP="00D107EF">
            <w:pPr>
              <w:pStyle w:val="Akapitzlist"/>
              <w:spacing w:before="120" w:after="120" w:line="276" w:lineRule="auto"/>
              <w:ind w:left="708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a) w przypadku podejrzenia PML wstrzymanie podawania leku do czasu jego wykluczenia,</w:t>
            </w:r>
          </w:p>
          <w:p w:rsidR="00783659" w:rsidRPr="00D107EF" w:rsidRDefault="00783659" w:rsidP="00D107EF">
            <w:pPr>
              <w:pStyle w:val="Akapitzlist"/>
              <w:spacing w:before="120" w:after="120" w:line="276" w:lineRule="auto"/>
              <w:ind w:left="708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b) w przypadku potwierdzenia PML trwałe odstawienie leku.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Brak stabilizacji lub postęp choroby pomimo leczenia (dwa rzuty wymagające </w:t>
            </w:r>
            <w:proofErr w:type="spellStart"/>
            <w:r w:rsidRPr="00D107EF">
              <w:rPr>
                <w:sz w:val="20"/>
                <w:szCs w:val="20"/>
              </w:rPr>
              <w:t>sterydoterapii</w:t>
            </w:r>
            <w:proofErr w:type="spellEnd"/>
            <w:r w:rsidRPr="00D107EF">
              <w:rPr>
                <w:sz w:val="20"/>
                <w:szCs w:val="20"/>
              </w:rPr>
              <w:t xml:space="preserve"> lub pogorszenie o 2 punkty w EDSS w ciągu roku);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Reakcje nadwrażliwości  przy podaniu leku; 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Nieprawidłowe wyniki badań laboratoryjnych związane z leczeniem </w:t>
            </w:r>
            <w:proofErr w:type="spellStart"/>
            <w:r w:rsidR="00B410F4" w:rsidRPr="00D107EF">
              <w:rPr>
                <w:sz w:val="20"/>
                <w:szCs w:val="20"/>
              </w:rPr>
              <w:t>natalizumabem</w:t>
            </w:r>
            <w:proofErr w:type="spellEnd"/>
            <w:r w:rsidRPr="00D107EF">
              <w:rPr>
                <w:sz w:val="20"/>
                <w:szCs w:val="20"/>
              </w:rPr>
              <w:t xml:space="preserve"> (powyżej 3 górna granica normy);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Nowotwory złośliwe;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Inne zakażenia oportunistyczne.</w:t>
            </w:r>
          </w:p>
          <w:p w:rsidR="00783659" w:rsidRPr="00D107EF" w:rsidRDefault="00B410F4" w:rsidP="00D107EF">
            <w:pPr>
              <w:spacing w:before="120" w:after="120"/>
              <w:ind w:left="578" w:hanging="57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783659" w:rsidRPr="00D107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Określe</w:t>
            </w:r>
            <w:r w:rsidR="00CB413C" w:rsidRPr="00D107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 czasu leczenia w programie</w:t>
            </w:r>
          </w:p>
          <w:p w:rsidR="00783659" w:rsidRPr="00D107EF" w:rsidRDefault="00783659" w:rsidP="00D107EF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Ocenę skuteczności leczenia przeprowadza się po każdych pełnych 12 miesiącach terapii. </w:t>
            </w:r>
          </w:p>
          <w:p w:rsidR="00783659" w:rsidRPr="00D107EF" w:rsidRDefault="00783659" w:rsidP="00D107EF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U chorych odpowiadających na leczenie po ocenie skuteczności, terapię </w:t>
            </w:r>
            <w:proofErr w:type="spellStart"/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natalizumabem</w:t>
            </w:r>
            <w:proofErr w:type="spellEnd"/>
            <w:r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 można przedłużać o kolejne 12 miesięcy. </w:t>
            </w:r>
          </w:p>
          <w:p w:rsidR="00523614" w:rsidRPr="00D107EF" w:rsidRDefault="00783659" w:rsidP="00D107EF">
            <w:pPr>
              <w:spacing w:before="120" w:after="12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Z uwagi na podwyższone ryzyko PML, lekarz specjalista i pacjent powinni ponownie po 2 latach indywidualnie rozważyć korzyści i ryzyko leczenia </w:t>
            </w:r>
            <w:proofErr w:type="spellStart"/>
            <w:r w:rsidR="00B410F4" w:rsidRPr="00D107EF">
              <w:rPr>
                <w:rFonts w:ascii="Times New Roman" w:hAnsi="Times New Roman" w:cs="Times New Roman"/>
                <w:sz w:val="20"/>
                <w:szCs w:val="20"/>
              </w:rPr>
              <w:t>natalizumabem</w:t>
            </w:r>
            <w:proofErr w:type="spellEnd"/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107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:rsidR="00523614" w:rsidRPr="00D107EF" w:rsidRDefault="00523614" w:rsidP="00D107EF">
            <w:pPr>
              <w:spacing w:before="120" w:after="12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Łączny czas leczenia pacjenta, lekami modyfikującymi przebieg choroby, zależy od decyzji lekarza.</w:t>
            </w:r>
          </w:p>
          <w:p w:rsidR="00783659" w:rsidRPr="00D107EF" w:rsidRDefault="00783659" w:rsidP="00D107EF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W przypadku wystąpienia, w początkowym okresie leczenia, objawów niepożądanych lub ze względu na bezpieczeństwo chorego, dopuszcza się w ramach programu, zamianę na lek o innym mechanizmie działania.  Przesłanki do zmiany terapii, wymienione w poprzednim zdaniu, nie są tożsame z brakiem skuteczności wdrożonego leczenia.</w:t>
            </w:r>
          </w:p>
          <w:p w:rsidR="00783659" w:rsidRPr="00D107EF" w:rsidRDefault="00783659" w:rsidP="00D107EF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Za brak skuteczności leczenia </w:t>
            </w:r>
            <w:proofErr w:type="spellStart"/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natalizumabem</w:t>
            </w:r>
            <w:proofErr w:type="spellEnd"/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, uzasadniający zmianę leczenia lub przerwanie leczenia,  przyjmuje się wystąpienie jednej z poniższych sytuacji: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15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Przejście w postać wtórnie postępującą;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15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Wystąpienie 2 z 3 poniższych  kryteriów: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17"/>
              </w:numPr>
              <w:spacing w:before="120" w:after="120" w:line="276" w:lineRule="auto"/>
              <w:ind w:hanging="218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liczba i ciężkość rzutów:</w:t>
            </w:r>
          </w:p>
          <w:p w:rsidR="00783659" w:rsidRPr="00D107EF" w:rsidRDefault="00783659" w:rsidP="00D107EF">
            <w:pPr>
              <w:spacing w:before="120" w:after="120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- 2 lub więcej rzutów umiarkowanych wymagających leczenia sterydami (wzrost EDSS o 1 do 2 pkt lub wzrost o 2 pkt w zakresie jednego lub dwóch układów funkcjonalnych lub o 1 pkt w zakresie czterech lub większej liczbie układów funkcjonalnych) lub</w:t>
            </w:r>
          </w:p>
          <w:p w:rsidR="00783659" w:rsidRPr="00D107EF" w:rsidRDefault="00783659" w:rsidP="00D107EF">
            <w:pPr>
              <w:spacing w:before="120" w:after="120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- 1 ciężki rzut wymagający leczenia sterydami po 6 miesiącach leczenia (wzrost w EDSS większy niż w definicji rzutu umiarkowanego),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17"/>
              </w:numPr>
              <w:spacing w:before="120" w:after="120" w:line="276" w:lineRule="auto"/>
              <w:ind w:hanging="218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progresja choroby mimo leczenia, co oznacza utrzymujące się przez co najmniej 3 miesiące pogorszenie się stanu neurologicznego o co najmniej:</w:t>
            </w:r>
          </w:p>
          <w:p w:rsidR="00783659" w:rsidRPr="00D107EF" w:rsidRDefault="00783659" w:rsidP="00D107EF">
            <w:pPr>
              <w:pStyle w:val="Akapitzlist"/>
              <w:spacing w:before="120" w:after="120" w:line="276" w:lineRule="auto"/>
              <w:ind w:left="426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- 2 pkt EDSS, gdy EDSS do 3,5,</w:t>
            </w:r>
          </w:p>
          <w:p w:rsidR="00783659" w:rsidRPr="00D107EF" w:rsidRDefault="00783659" w:rsidP="00D107EF">
            <w:pPr>
              <w:pStyle w:val="Akapitzlist"/>
              <w:spacing w:before="120" w:after="120" w:line="276" w:lineRule="auto"/>
              <w:ind w:left="426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- 1 pkt EDSS, gdy EDSS od 4,0;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17"/>
              </w:numPr>
              <w:spacing w:before="120" w:after="120" w:line="276" w:lineRule="auto"/>
              <w:ind w:hanging="218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zmiany w badaniu rezonansu magnetycznego wykonanym po każdych 12 miesiącach, gdy stwierdza się jedno z poniższych:</w:t>
            </w:r>
          </w:p>
          <w:p w:rsidR="00783659" w:rsidRPr="00D107EF" w:rsidRDefault="00783659" w:rsidP="00D107EF">
            <w:pPr>
              <w:spacing w:before="120" w:after="120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- więcej niż jedna nowa zmiana Gd (+),   </w:t>
            </w:r>
          </w:p>
          <w:p w:rsidR="00783659" w:rsidRPr="00D107EF" w:rsidRDefault="00783659" w:rsidP="00D107EF">
            <w:pPr>
              <w:spacing w:before="120" w:after="120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- więcej niż dwie nowe zmiany w sekwencji T2.</w:t>
            </w:r>
          </w:p>
          <w:p w:rsidR="00783659" w:rsidRPr="00D107EF" w:rsidRDefault="00B410F4" w:rsidP="00D107EF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  <w:r w:rsidR="00783659" w:rsidRPr="00D107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Kryteria przedłużenia</w:t>
            </w:r>
            <w:r w:rsidR="00CB413C" w:rsidRPr="00D107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leczenia o kolejne 12 miesięcy</w:t>
            </w:r>
          </w:p>
          <w:p w:rsidR="00783659" w:rsidRPr="00D107EF" w:rsidRDefault="00783659" w:rsidP="00D107EF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Leczenie może zostać przedłużone o kolejne 12 miesięcy, jeżeli zostaną spełnione 2 z 3 niżej wymienionych kryteriów: 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16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liczba i ciężkość rzutów:</w:t>
            </w:r>
          </w:p>
          <w:p w:rsidR="00783659" w:rsidRPr="00D107EF" w:rsidRDefault="00783659" w:rsidP="00D107EF">
            <w:pPr>
              <w:spacing w:before="120" w:after="12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- brak rzutów lub rzuty łagodne (wzrost EDSS w trakcie rzutu o 0.5 pkt lub o 1 pkt w zakresie jednego do trzech układów funkcjonalnych) lub </w:t>
            </w:r>
          </w:p>
          <w:p w:rsidR="00783659" w:rsidRPr="00D107EF" w:rsidRDefault="00783659" w:rsidP="00D107EF">
            <w:pPr>
              <w:spacing w:before="120" w:after="12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- 1 rzut umiarkowany (wzrost EDSS w trakcie rzutu o 1 do 2 pkt lub 2 pkt w zakresie jednego do dwóch układów funkcjonalnych lub o 1 pkt w czterech lub większej liczbie układów funkcjonalnych) lub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16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brak progresji choroby w okresie ostatniego roku leczenia: różnica w skali EDSS poniżej 1 pkt;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16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brak wyraźnych cech aktywności i progresji choroby w badaniu MRI z podaniem kontrastu  (nie więcej niż jedna nowa zmiana Gd+ lub d</w:t>
            </w:r>
            <w:r w:rsidR="001413F4" w:rsidRPr="00D107EF">
              <w:rPr>
                <w:sz w:val="20"/>
                <w:szCs w:val="20"/>
              </w:rPr>
              <w:t>wie nowe zmiany w sekwencji T2).</w:t>
            </w:r>
          </w:p>
          <w:p w:rsidR="00AE5AA4" w:rsidRPr="00D107EF" w:rsidRDefault="00AE5AA4" w:rsidP="00D107EF">
            <w:pPr>
              <w:spacing w:before="120" w:after="12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07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12. Kryteria kwalifikacji </w:t>
            </w:r>
            <w:r w:rsidRPr="00D107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do leczenia </w:t>
            </w:r>
            <w:proofErr w:type="spellStart"/>
            <w:r w:rsidRPr="00D107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okrelizumabem</w:t>
            </w:r>
            <w:proofErr w:type="spellEnd"/>
            <w:r w:rsidRPr="00D107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32362" w:rsidRPr="00D107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w ramach programu</w:t>
            </w:r>
          </w:p>
          <w:p w:rsidR="00AE5AA4" w:rsidRPr="00D107EF" w:rsidRDefault="00AE5AA4" w:rsidP="00D107EF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Do leczenia substancją czynną </w:t>
            </w:r>
            <w:proofErr w:type="spellStart"/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okrelizumab</w:t>
            </w:r>
            <w:proofErr w:type="spellEnd"/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kwalifikowani są pacjenci spełniający łącznie kryteria 1.1.,1.2.,1.3.,1.4</w:t>
            </w:r>
            <w:r w:rsidR="008A351F"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albo 2.1.,2.2.,2.3.,2.4., 2.5.,2.6.</w:t>
            </w:r>
          </w:p>
          <w:p w:rsidR="007B0E17" w:rsidRPr="00D107EF" w:rsidRDefault="007B0E17" w:rsidP="00D107EF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a) Postać rzutowo-</w:t>
            </w:r>
            <w:proofErr w:type="spellStart"/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remisyjna</w:t>
            </w:r>
            <w:proofErr w:type="spellEnd"/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AE5AA4" w:rsidRPr="00D107EF" w:rsidRDefault="00AE5AA4" w:rsidP="00D107EF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1.1. Wiek od 18 roku życia;</w:t>
            </w:r>
          </w:p>
          <w:p w:rsidR="00AE5AA4" w:rsidRPr="00D107EF" w:rsidRDefault="00AE5AA4" w:rsidP="00D107EF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1.2. Rozpoznanie postaci rzutowej stwardnienia rozsianego (RRMS) oparte na kryteriach diagnostycznych McDonalda (2017), łącznie z badaniami rezonansem magnetycznym, przed i po podaniu kontrastu  i spełnianie kryteriów określonych w  pkt. 1.3.;</w:t>
            </w:r>
          </w:p>
          <w:p w:rsidR="00AE5AA4" w:rsidRPr="00D107EF" w:rsidRDefault="00AE5AA4" w:rsidP="00D107EF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1.3. Pacjenci, u których stwierdza się brak skuteczności terapii</w:t>
            </w:r>
            <w:r w:rsidRPr="00D107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leczenia interferonem beta lub PEG-interferonem beta-1a lub octanem </w:t>
            </w:r>
            <w:proofErr w:type="spellStart"/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glatirameru</w:t>
            </w:r>
            <w:proofErr w:type="spellEnd"/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fumaranem</w:t>
            </w:r>
            <w:proofErr w:type="spellEnd"/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dimetylu lub </w:t>
            </w:r>
            <w:proofErr w:type="spellStart"/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teriflunomidu</w:t>
            </w:r>
            <w:proofErr w:type="spellEnd"/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po minimum 12-tu miesiącach terapii, def</w:t>
            </w:r>
            <w:r w:rsidR="008A351F"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niowany jako spełnienie obu poniższych warunków:</w:t>
            </w:r>
          </w:p>
          <w:p w:rsidR="00AE5AA4" w:rsidRPr="00D107EF" w:rsidRDefault="00AE5AA4" w:rsidP="003872CD">
            <w:pPr>
              <w:widowControl w:val="0"/>
              <w:numPr>
                <w:ilvl w:val="0"/>
                <w:numId w:val="23"/>
              </w:numPr>
              <w:spacing w:before="120" w:after="120"/>
              <w:ind w:left="360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liczba i ciężkość rzutów:</w:t>
            </w:r>
          </w:p>
          <w:p w:rsidR="00AE5AA4" w:rsidRPr="00D107EF" w:rsidRDefault="00AE5AA4" w:rsidP="003872CD">
            <w:pPr>
              <w:widowControl w:val="0"/>
              <w:numPr>
                <w:ilvl w:val="1"/>
                <w:numId w:val="22"/>
              </w:numPr>
              <w:spacing w:before="120" w:after="120"/>
              <w:ind w:left="709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2 lub więcej rzutów umiarkowanych wymagających leczenia sterydami (wzrost EDSS o 1 do 2 pkt lub wzrost o 2 pkt w zakresie jednego lub dwóch układów funkcjonalnych lub o 1 pkt w czterech lub  większej liczbie układów funkcjonalnych)  lub</w:t>
            </w:r>
          </w:p>
          <w:p w:rsidR="00AE5AA4" w:rsidRPr="00D107EF" w:rsidRDefault="00AE5AA4" w:rsidP="003872CD">
            <w:pPr>
              <w:widowControl w:val="0"/>
              <w:numPr>
                <w:ilvl w:val="1"/>
                <w:numId w:val="22"/>
              </w:numPr>
              <w:spacing w:before="120" w:after="120"/>
              <w:ind w:left="709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1 ciężki rzut po 6 miesiącach wymagający leczenia sterydami (wzrost w EDSS większy niż w definicji rzutu umiarkowanego</w:t>
            </w:r>
            <w:r w:rsidR="007B0E17"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AE5AA4" w:rsidRPr="00D107EF" w:rsidRDefault="00AE5AA4" w:rsidP="003872CD">
            <w:pPr>
              <w:widowControl w:val="0"/>
              <w:numPr>
                <w:ilvl w:val="0"/>
                <w:numId w:val="23"/>
              </w:numPr>
              <w:spacing w:before="120" w:after="120"/>
              <w:ind w:left="426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zmiany w badaniu  rezonansu magnetycznego  wykonanym  po każdych 12 miesiącach gdy stwierdza się jedno z poniższych:</w:t>
            </w:r>
          </w:p>
          <w:p w:rsidR="00AE5AA4" w:rsidRPr="00D107EF" w:rsidRDefault="00AE5AA4" w:rsidP="003872CD">
            <w:pPr>
              <w:widowControl w:val="0"/>
              <w:numPr>
                <w:ilvl w:val="0"/>
                <w:numId w:val="24"/>
              </w:num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więcej niż  jedna nowa zmiana Gd (+) </w:t>
            </w:r>
          </w:p>
          <w:p w:rsidR="00AE5AA4" w:rsidRPr="00D107EF" w:rsidRDefault="00AE5AA4" w:rsidP="003872CD">
            <w:pPr>
              <w:widowControl w:val="0"/>
              <w:numPr>
                <w:ilvl w:val="0"/>
                <w:numId w:val="24"/>
              </w:num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więcej niż dwie nowe zmiany w sekwencji T2;</w:t>
            </w:r>
          </w:p>
          <w:p w:rsidR="00AE5AA4" w:rsidRPr="00D107EF" w:rsidRDefault="00AE5AA4" w:rsidP="00D107EF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1.4. W przypadku kobiet w wieku rozrodczym stosowanie antykoncepcji;</w:t>
            </w:r>
          </w:p>
          <w:p w:rsidR="007B0E17" w:rsidRPr="00D107EF" w:rsidRDefault="007B0E17" w:rsidP="00D107EF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  <w:r w:rsidR="00132362"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) P</w:t>
            </w:r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ostać pierwotnie postępująca:</w:t>
            </w:r>
          </w:p>
          <w:p w:rsidR="00AE5AA4" w:rsidRPr="00D107EF" w:rsidRDefault="00AE5AA4" w:rsidP="00D107EF">
            <w:pPr>
              <w:widowControl w:val="0"/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8A351F"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wiek od 18 roku życia;</w:t>
            </w:r>
          </w:p>
          <w:p w:rsidR="00AE5AA4" w:rsidRPr="00D107EF" w:rsidRDefault="00AE5AA4" w:rsidP="00D107EF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  <w:r w:rsidR="008A351F"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rozpoznanie postaci pierwotnie postępującej stwardnienia rozsianego oparte na aktualnych kryteriach diagnostycznych McDonalda</w:t>
            </w:r>
          </w:p>
          <w:p w:rsidR="00AE5AA4" w:rsidRPr="00D107EF" w:rsidRDefault="00AE5AA4" w:rsidP="003872CD">
            <w:pPr>
              <w:pStyle w:val="Akapitzlist"/>
              <w:widowControl w:val="0"/>
              <w:numPr>
                <w:ilvl w:val="1"/>
                <w:numId w:val="30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EDSS od 3 do 6,5</w:t>
            </w:r>
          </w:p>
          <w:p w:rsidR="00AE5AA4" w:rsidRPr="00D107EF" w:rsidRDefault="008A351F" w:rsidP="00D107EF">
            <w:pPr>
              <w:widowControl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  <w:r w:rsidR="00AE5AA4"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 czas trwania od pierwszych objawów postaci pierwotnie postępującej stwardnienia rozsianego:</w:t>
            </w:r>
          </w:p>
          <w:p w:rsidR="00AE5AA4" w:rsidRPr="00D107EF" w:rsidRDefault="00AE5AA4" w:rsidP="003872CD">
            <w:pPr>
              <w:pStyle w:val="Akapitzlist"/>
              <w:widowControl w:val="0"/>
              <w:numPr>
                <w:ilvl w:val="0"/>
                <w:numId w:val="28"/>
              </w:numPr>
              <w:spacing w:before="120" w:after="120" w:line="276" w:lineRule="auto"/>
              <w:ind w:left="452" w:hanging="425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mniej niż 10 lat u pacjentów z wynikiem EDSS w chwili kwalifikacji ≤ 5,0 lub </w:t>
            </w:r>
          </w:p>
          <w:p w:rsidR="00AE5AA4" w:rsidRPr="00D107EF" w:rsidRDefault="00AE5AA4" w:rsidP="003872CD">
            <w:pPr>
              <w:pStyle w:val="Akapitzlist"/>
              <w:widowControl w:val="0"/>
              <w:numPr>
                <w:ilvl w:val="0"/>
                <w:numId w:val="28"/>
              </w:numPr>
              <w:spacing w:before="120" w:after="120" w:line="276" w:lineRule="auto"/>
              <w:ind w:left="452" w:hanging="425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mniej niż 15 lat u pacjentów z wynikiem EDSS w chwili kwalifikacji &gt;5,0.</w:t>
            </w:r>
          </w:p>
          <w:p w:rsidR="00AE5AA4" w:rsidRPr="00D107EF" w:rsidRDefault="00AE5AA4" w:rsidP="003872CD">
            <w:pPr>
              <w:pStyle w:val="Akapitzlist"/>
              <w:widowControl w:val="0"/>
              <w:numPr>
                <w:ilvl w:val="1"/>
                <w:numId w:val="29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Potwierdzona aktywność zapalna w MRI :</w:t>
            </w:r>
          </w:p>
          <w:p w:rsidR="00AE5AA4" w:rsidRPr="00D107EF" w:rsidRDefault="00AE5AA4" w:rsidP="003872CD">
            <w:pPr>
              <w:pStyle w:val="Akapitzlist"/>
              <w:widowControl w:val="0"/>
              <w:numPr>
                <w:ilvl w:val="1"/>
                <w:numId w:val="26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przynajmniej 1 ognisko wzmacniające się po Gd lub </w:t>
            </w:r>
          </w:p>
          <w:p w:rsidR="00AE5AA4" w:rsidRPr="00D107EF" w:rsidRDefault="00AE5AA4" w:rsidP="003872CD">
            <w:pPr>
              <w:pStyle w:val="Akapitzlist"/>
              <w:widowControl w:val="0"/>
              <w:numPr>
                <w:ilvl w:val="1"/>
                <w:numId w:val="26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przynajmniej 1 nowe lub powiększające ognisko T2 </w:t>
            </w:r>
          </w:p>
          <w:p w:rsidR="00AE5AA4" w:rsidRPr="00D107EF" w:rsidRDefault="00AE5AA4" w:rsidP="00D107EF">
            <w:pPr>
              <w:spacing w:before="120" w:after="120"/>
              <w:ind w:left="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w stosunku do poprzednio wykonanego badania MRI.</w:t>
            </w:r>
          </w:p>
          <w:p w:rsidR="00AE5AA4" w:rsidRPr="00D107EF" w:rsidRDefault="008A351F" w:rsidP="00D107EF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2.6.</w:t>
            </w:r>
            <w:r w:rsidR="00AE5AA4"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przypadku kobiet w wieku rozrodczym stosowanie   antykoncepcji</w:t>
            </w:r>
          </w:p>
          <w:p w:rsidR="00AE5AA4" w:rsidRPr="00D107EF" w:rsidRDefault="00AE5AA4" w:rsidP="00D107E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Ponadto do programu lekowego, w celu zapewnienia kontynuacji terapii są kwalifikowani również pacjenci, którzy rozpoczęli leczenie </w:t>
            </w:r>
            <w:proofErr w:type="spellStart"/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okrelizumabem</w:t>
            </w:r>
            <w:proofErr w:type="spellEnd"/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przed dniem </w:t>
            </w:r>
            <w:r w:rsidR="008A351F"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1 listopada 2019 r.</w:t>
            </w:r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spełniają łącznie następujące kryteria:</w:t>
            </w:r>
          </w:p>
          <w:p w:rsidR="00AE5AA4" w:rsidRPr="00D107EF" w:rsidRDefault="00AE5AA4" w:rsidP="003872CD">
            <w:pPr>
              <w:pStyle w:val="Akapitzlist"/>
              <w:widowControl w:val="0"/>
              <w:numPr>
                <w:ilvl w:val="0"/>
                <w:numId w:val="27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Leczenie zostało włączone zgodnie z charakterystyką produktu leczniczego i powyższe znajduje odzwierciedlenie w dokumentacji medycznej pacjenta</w:t>
            </w:r>
          </w:p>
          <w:p w:rsidR="00AE5AA4" w:rsidRPr="00D107EF" w:rsidRDefault="00AE5AA4" w:rsidP="003872CD">
            <w:pPr>
              <w:pStyle w:val="Akapitzlist"/>
              <w:widowControl w:val="0"/>
              <w:numPr>
                <w:ilvl w:val="0"/>
                <w:numId w:val="27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Nie podlegają kryteriom uniemożl</w:t>
            </w:r>
            <w:r w:rsidR="007B0E17" w:rsidRPr="00D107EF">
              <w:rPr>
                <w:sz w:val="20"/>
                <w:szCs w:val="20"/>
              </w:rPr>
              <w:t>iwiającym włączenie do programu;</w:t>
            </w:r>
          </w:p>
          <w:p w:rsidR="00AE5AA4" w:rsidRPr="00D107EF" w:rsidRDefault="00AE5AA4" w:rsidP="00D107EF">
            <w:pPr>
              <w:widowControl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Do programu włączane są, bez konieczności ponownej kwalifikacji, pacjentki wyłączone z programu w związku z ciążą, które w momencie wyłączenia spełniały pozostałe kryteria przedłużenia leczenia.</w:t>
            </w:r>
          </w:p>
          <w:p w:rsidR="00AE5AA4" w:rsidRPr="00D107EF" w:rsidRDefault="00AE5AA4" w:rsidP="00D107EF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107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13. </w:t>
            </w: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 K</w:t>
            </w:r>
            <w:r w:rsidRPr="00D107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ryteria uniemożliwiające włączenie do programu </w:t>
            </w:r>
          </w:p>
          <w:p w:rsidR="00AE5AA4" w:rsidRPr="00D107EF" w:rsidRDefault="00AE5AA4" w:rsidP="00D107EF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Przeciwwskazaniem do stosowania </w:t>
            </w:r>
            <w:proofErr w:type="spellStart"/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okrelizumabu</w:t>
            </w:r>
            <w:proofErr w:type="spellEnd"/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jest:</w:t>
            </w:r>
          </w:p>
          <w:p w:rsidR="00AE5AA4" w:rsidRPr="00D107EF" w:rsidRDefault="00AE5AA4" w:rsidP="003872CD">
            <w:pPr>
              <w:pStyle w:val="Akapitzlist"/>
              <w:widowControl w:val="0"/>
              <w:numPr>
                <w:ilvl w:val="0"/>
                <w:numId w:val="25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nadwrażliwość na </w:t>
            </w:r>
            <w:proofErr w:type="spellStart"/>
            <w:r w:rsidRPr="00D107EF">
              <w:rPr>
                <w:sz w:val="20"/>
                <w:szCs w:val="20"/>
              </w:rPr>
              <w:t>okrelizumab</w:t>
            </w:r>
            <w:proofErr w:type="spellEnd"/>
            <w:r w:rsidRPr="00D107EF">
              <w:rPr>
                <w:sz w:val="20"/>
                <w:szCs w:val="20"/>
              </w:rPr>
              <w:t xml:space="preserve"> lub na któr</w:t>
            </w:r>
            <w:r w:rsidR="007B0E17" w:rsidRPr="00D107EF">
              <w:rPr>
                <w:sz w:val="20"/>
                <w:szCs w:val="20"/>
              </w:rPr>
              <w:t>ąkolwiek substancję pomocniczą;</w:t>
            </w:r>
          </w:p>
          <w:p w:rsidR="00AE5AA4" w:rsidRPr="00D107EF" w:rsidRDefault="00AE5AA4" w:rsidP="003872CD">
            <w:pPr>
              <w:pStyle w:val="Akapitzlist"/>
              <w:widowControl w:val="0"/>
              <w:numPr>
                <w:ilvl w:val="0"/>
                <w:numId w:val="25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Trwaj</w:t>
            </w:r>
            <w:r w:rsidR="007B0E17" w:rsidRPr="00D107EF">
              <w:rPr>
                <w:sz w:val="20"/>
                <w:szCs w:val="20"/>
              </w:rPr>
              <w:t>ące aktualnie, czynne zakażenie;</w:t>
            </w:r>
          </w:p>
          <w:p w:rsidR="00AE5AA4" w:rsidRPr="00D107EF" w:rsidRDefault="007B0E17" w:rsidP="003872CD">
            <w:pPr>
              <w:pStyle w:val="Akapitzlist"/>
              <w:widowControl w:val="0"/>
              <w:numPr>
                <w:ilvl w:val="0"/>
                <w:numId w:val="25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Ciężkie obniżenie odporności;</w:t>
            </w:r>
          </w:p>
          <w:p w:rsidR="00AE5AA4" w:rsidRPr="00D107EF" w:rsidRDefault="00AE5AA4" w:rsidP="003872CD">
            <w:pPr>
              <w:pStyle w:val="Akapitzlist"/>
              <w:widowControl w:val="0"/>
              <w:numPr>
                <w:ilvl w:val="0"/>
                <w:numId w:val="25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Rozpozn</w:t>
            </w:r>
            <w:r w:rsidR="007B0E17" w:rsidRPr="00D107EF">
              <w:rPr>
                <w:sz w:val="20"/>
                <w:szCs w:val="20"/>
              </w:rPr>
              <w:t>any , czynny  nowotwór złośliwy;</w:t>
            </w:r>
          </w:p>
          <w:p w:rsidR="00AE5AA4" w:rsidRPr="00D107EF" w:rsidRDefault="00AE5AA4" w:rsidP="003872CD">
            <w:pPr>
              <w:pStyle w:val="Akapitzlist"/>
              <w:widowControl w:val="0"/>
              <w:numPr>
                <w:ilvl w:val="0"/>
                <w:numId w:val="25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inne  przeciwwskazania wymienione w Charakterystyce Produktu Leczniczego.</w:t>
            </w:r>
          </w:p>
          <w:p w:rsidR="00AE5AA4" w:rsidRPr="00D107EF" w:rsidRDefault="00AE5AA4" w:rsidP="00D107EF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107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14. </w:t>
            </w:r>
            <w:r w:rsidR="007B0E17" w:rsidRPr="00D107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Kryteria wyłączenia</w:t>
            </w:r>
          </w:p>
          <w:p w:rsidR="00AE5AA4" w:rsidRPr="00D107EF" w:rsidRDefault="00AE5AA4" w:rsidP="00D107EF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Kryterium wyłączenia z leczenia </w:t>
            </w:r>
            <w:proofErr w:type="spellStart"/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okrelizumabem</w:t>
            </w:r>
            <w:proofErr w:type="spellEnd"/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jest spełnienie co najmniej jednego z niżej wymienionych kryteriów:</w:t>
            </w:r>
          </w:p>
          <w:p w:rsidR="00AE5AA4" w:rsidRPr="00D107EF" w:rsidRDefault="00AE5AA4" w:rsidP="003872CD">
            <w:pPr>
              <w:pStyle w:val="Akapitzlist"/>
              <w:numPr>
                <w:ilvl w:val="0"/>
                <w:numId w:val="31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nietolerancja  </w:t>
            </w:r>
            <w:proofErr w:type="spellStart"/>
            <w:r w:rsidRPr="00D107EF">
              <w:rPr>
                <w:sz w:val="20"/>
                <w:szCs w:val="20"/>
              </w:rPr>
              <w:t>okrelizumabu</w:t>
            </w:r>
            <w:proofErr w:type="spellEnd"/>
            <w:r w:rsidR="00132362" w:rsidRPr="00D107EF">
              <w:rPr>
                <w:sz w:val="20"/>
                <w:szCs w:val="20"/>
              </w:rPr>
              <w:t>,</w:t>
            </w:r>
          </w:p>
          <w:p w:rsidR="00AE5AA4" w:rsidRPr="00D107EF" w:rsidRDefault="00AE5AA4" w:rsidP="003872CD">
            <w:pPr>
              <w:pStyle w:val="Akapitzlist"/>
              <w:widowControl w:val="0"/>
              <w:numPr>
                <w:ilvl w:val="0"/>
                <w:numId w:val="31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czynne zakażenie do momentu jego ustąpienia</w:t>
            </w:r>
            <w:r w:rsidR="00132362" w:rsidRPr="00D107EF">
              <w:rPr>
                <w:sz w:val="20"/>
                <w:szCs w:val="20"/>
              </w:rPr>
              <w:t>,</w:t>
            </w:r>
          </w:p>
          <w:p w:rsidR="00AE5AA4" w:rsidRPr="00D107EF" w:rsidRDefault="00AE5AA4" w:rsidP="003872CD">
            <w:pPr>
              <w:pStyle w:val="Akapitzlist"/>
              <w:widowControl w:val="0"/>
              <w:numPr>
                <w:ilvl w:val="0"/>
                <w:numId w:val="31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stan ciężkiego osłabienia odporności</w:t>
            </w:r>
            <w:r w:rsidR="00132362" w:rsidRPr="00D107EF">
              <w:rPr>
                <w:sz w:val="20"/>
                <w:szCs w:val="20"/>
              </w:rPr>
              <w:t>,</w:t>
            </w:r>
          </w:p>
          <w:p w:rsidR="00AE5AA4" w:rsidRPr="00D107EF" w:rsidRDefault="00AE5AA4" w:rsidP="003872CD">
            <w:pPr>
              <w:pStyle w:val="Akapitzlist"/>
              <w:widowControl w:val="0"/>
              <w:numPr>
                <w:ilvl w:val="0"/>
                <w:numId w:val="31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nowotwór złośliwy </w:t>
            </w:r>
            <w:r w:rsidR="00132362" w:rsidRPr="00D107EF">
              <w:rPr>
                <w:sz w:val="20"/>
                <w:szCs w:val="20"/>
              </w:rPr>
              <w:t>,</w:t>
            </w:r>
          </w:p>
          <w:p w:rsidR="00AE5AA4" w:rsidRPr="00D107EF" w:rsidRDefault="00AE5AA4" w:rsidP="003872CD">
            <w:pPr>
              <w:pStyle w:val="Akapitzlist"/>
              <w:widowControl w:val="0"/>
              <w:numPr>
                <w:ilvl w:val="0"/>
                <w:numId w:val="31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ciąża, chyba, że potencjalne korzyści dla matki przewyższa</w:t>
            </w:r>
            <w:r w:rsidR="00132362" w:rsidRPr="00D107EF">
              <w:rPr>
                <w:sz w:val="20"/>
                <w:szCs w:val="20"/>
              </w:rPr>
              <w:t>ją potencjalne ryzyko dla płodu,</w:t>
            </w:r>
          </w:p>
          <w:p w:rsidR="00AE5AA4" w:rsidRPr="00D107EF" w:rsidRDefault="007B0E17" w:rsidP="003872CD">
            <w:pPr>
              <w:pStyle w:val="Akapitzlist"/>
              <w:widowControl w:val="0"/>
              <w:numPr>
                <w:ilvl w:val="0"/>
                <w:numId w:val="31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brak skuteczności leczenia</w:t>
            </w:r>
            <w:r w:rsidR="00132362" w:rsidRPr="00D107EF">
              <w:rPr>
                <w:sz w:val="20"/>
                <w:szCs w:val="20"/>
              </w:rPr>
              <w:t>,</w:t>
            </w:r>
          </w:p>
          <w:p w:rsidR="00AE5AA4" w:rsidRPr="00D107EF" w:rsidRDefault="00AE5AA4" w:rsidP="003872CD">
            <w:pPr>
              <w:pStyle w:val="Akapitzlist"/>
              <w:widowControl w:val="0"/>
              <w:numPr>
                <w:ilvl w:val="0"/>
                <w:numId w:val="31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przejście w postać wtórnie postępującą.</w:t>
            </w:r>
          </w:p>
          <w:p w:rsidR="00AE5AA4" w:rsidRPr="00D107EF" w:rsidRDefault="007B0E17" w:rsidP="00D107EF">
            <w:pPr>
              <w:spacing w:before="120" w:after="120"/>
              <w:ind w:left="578" w:hanging="57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107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15.  </w:t>
            </w:r>
            <w:r w:rsidR="00AE5AA4" w:rsidRPr="00D107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Określe</w:t>
            </w:r>
            <w:r w:rsidR="00132362" w:rsidRPr="00D107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nie czasu leczenia w programie</w:t>
            </w:r>
          </w:p>
          <w:p w:rsidR="007B0E17" w:rsidRPr="00D107EF" w:rsidRDefault="008E22DE" w:rsidP="00D107EF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r w:rsidR="007B0E17" w:rsidRPr="00D107EF">
              <w:rPr>
                <w:rFonts w:ascii="Times New Roman" w:hAnsi="Times New Roman" w:cs="Times New Roman"/>
                <w:sz w:val="20"/>
                <w:szCs w:val="20"/>
              </w:rPr>
              <w:t>Postać rzutowo-</w:t>
            </w:r>
            <w:proofErr w:type="spellStart"/>
            <w:r w:rsidR="007B0E17" w:rsidRPr="00D107EF">
              <w:rPr>
                <w:rFonts w:ascii="Times New Roman" w:hAnsi="Times New Roman" w:cs="Times New Roman"/>
                <w:sz w:val="20"/>
                <w:szCs w:val="20"/>
              </w:rPr>
              <w:t>remisyjna</w:t>
            </w:r>
            <w:proofErr w:type="spellEnd"/>
          </w:p>
          <w:p w:rsidR="00AE5AA4" w:rsidRPr="00D107EF" w:rsidRDefault="00AE5AA4" w:rsidP="00D107EF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Ocenę skuteczności leczenia przeprowadza się po każdych pełnych 12 miesiącach terapii. Za brak skuteczności leczenia </w:t>
            </w:r>
            <w:proofErr w:type="spellStart"/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okrelizumabem</w:t>
            </w:r>
            <w:proofErr w:type="spellEnd"/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uzasadniający zmianę lub przerwanie leczenia,  przyjmuje się wystąpienie obu poniższych sytuacji:</w:t>
            </w:r>
          </w:p>
          <w:p w:rsidR="00AE5AA4" w:rsidRPr="00D107EF" w:rsidRDefault="00AE5AA4" w:rsidP="003872CD">
            <w:pPr>
              <w:pStyle w:val="Akapitzlist"/>
              <w:widowControl w:val="0"/>
              <w:numPr>
                <w:ilvl w:val="0"/>
                <w:numId w:val="33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liczba i ciężkość rzutów:</w:t>
            </w:r>
          </w:p>
          <w:p w:rsidR="00AE5AA4" w:rsidRPr="00D107EF" w:rsidRDefault="00AE5AA4" w:rsidP="00D107EF">
            <w:pPr>
              <w:spacing w:before="120" w:after="120"/>
              <w:ind w:left="57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- 2 lub więcej rzutów umiarkowanych wymagających leczenia sterydami (wzrost EDSS o 1 do 2 pkt lub wzrost o 2 pkt w zakresie jednego lub dwóch układów funkcjonalnych lub o 1 pkt w zakresie czterech lub większej liczbie układów funkcjonalnych)  lub </w:t>
            </w:r>
          </w:p>
          <w:p w:rsidR="00AE5AA4" w:rsidRPr="00D107EF" w:rsidRDefault="00AE5AA4" w:rsidP="00D107EF">
            <w:pPr>
              <w:spacing w:before="120" w:after="120"/>
              <w:ind w:left="57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-  1 ciężki rzut  wymagający leczenia sterydami po 6 miesiącach leczenia (wzrost EDSS większy niż w definicji rzutu umiarkowanego tj. powyżej 2 pkt.),</w:t>
            </w:r>
          </w:p>
          <w:p w:rsidR="00132362" w:rsidRPr="00D107EF" w:rsidRDefault="00AE5AA4" w:rsidP="003872CD">
            <w:pPr>
              <w:pStyle w:val="Akapitzlist"/>
              <w:widowControl w:val="0"/>
              <w:numPr>
                <w:ilvl w:val="0"/>
                <w:numId w:val="33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zmiany w badaniu rezonansu magnetycznego wykonanym po każdych 12 miesiącach, gdy stwierdza się jedno z poniższych:</w:t>
            </w:r>
          </w:p>
          <w:p w:rsidR="00132362" w:rsidRPr="00D107EF" w:rsidRDefault="00AE5AA4" w:rsidP="003872CD">
            <w:pPr>
              <w:pStyle w:val="Akapitzlist"/>
              <w:widowControl w:val="0"/>
              <w:numPr>
                <w:ilvl w:val="1"/>
                <w:numId w:val="33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co najmniej jedna nowa zmiana Gd (+),   </w:t>
            </w:r>
          </w:p>
          <w:p w:rsidR="00AE5AA4" w:rsidRPr="00D107EF" w:rsidRDefault="00AE5AA4" w:rsidP="003872CD">
            <w:pPr>
              <w:pStyle w:val="Akapitzlist"/>
              <w:widowControl w:val="0"/>
              <w:numPr>
                <w:ilvl w:val="1"/>
                <w:numId w:val="33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co najmniej dwie nowe zmiany w sekwencji T2.</w:t>
            </w:r>
          </w:p>
          <w:p w:rsidR="007B0E17" w:rsidRPr="00D107EF" w:rsidRDefault="008E22DE" w:rsidP="00D107EF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b) </w:t>
            </w:r>
            <w:r w:rsidR="007B0E17" w:rsidRPr="00D107EF">
              <w:rPr>
                <w:rFonts w:ascii="Times New Roman" w:hAnsi="Times New Roman" w:cs="Times New Roman"/>
                <w:sz w:val="20"/>
                <w:szCs w:val="20"/>
              </w:rPr>
              <w:t>Postać pierwotnie-</w:t>
            </w: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postępująca</w:t>
            </w:r>
          </w:p>
          <w:p w:rsidR="003A3447" w:rsidRPr="00D107EF" w:rsidRDefault="007B0E17" w:rsidP="00D107EF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Ocenę skuteczności leczenia przeprowadza się po każdych pełnych 12 miesiącach terapii. Za brak skuteczności leczenia </w:t>
            </w:r>
            <w:proofErr w:type="spellStart"/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okrelizumabem</w:t>
            </w:r>
            <w:proofErr w:type="spellEnd"/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uzasadniający zmianę lub przerwanie leczenia,  przyjmuje się wystąpienie jednego z poniższych:</w:t>
            </w:r>
          </w:p>
          <w:p w:rsidR="003A3447" w:rsidRPr="00D107EF" w:rsidRDefault="007B0E17" w:rsidP="003872CD">
            <w:pPr>
              <w:pStyle w:val="Akapitzlist"/>
              <w:numPr>
                <w:ilvl w:val="0"/>
                <w:numId w:val="32"/>
              </w:numPr>
              <w:spacing w:before="120" w:after="120" w:line="276" w:lineRule="auto"/>
              <w:ind w:left="357" w:hanging="357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wystąpienie nieskuteczność leczenia definiowana jako pogorszenie w skali EDSS o co najmniej 2 pkt w ciągu 12 miesięcy lub</w:t>
            </w:r>
            <w:r w:rsidR="008E22DE" w:rsidRPr="00D107EF">
              <w:rPr>
                <w:sz w:val="20"/>
                <w:szCs w:val="20"/>
              </w:rPr>
              <w:t xml:space="preserve"> </w:t>
            </w:r>
          </w:p>
          <w:p w:rsidR="00610CDE" w:rsidRPr="00D107EF" w:rsidRDefault="007B0E17" w:rsidP="003872CD">
            <w:pPr>
              <w:pStyle w:val="Akapitzlist"/>
              <w:numPr>
                <w:ilvl w:val="0"/>
                <w:numId w:val="32"/>
              </w:numPr>
              <w:spacing w:before="120" w:after="120" w:line="276" w:lineRule="auto"/>
              <w:ind w:left="357" w:hanging="357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EDSS powyżej 8</w:t>
            </w:r>
            <w:r w:rsidR="008E22DE" w:rsidRPr="00D107EF">
              <w:rPr>
                <w:sz w:val="20"/>
                <w:szCs w:val="20"/>
              </w:rPr>
              <w:t>;</w:t>
            </w:r>
          </w:p>
          <w:p w:rsidR="00DF5898" w:rsidRPr="00D107EF" w:rsidRDefault="00DF5898" w:rsidP="00D107EF">
            <w:pPr>
              <w:pStyle w:val="Akapitzlist"/>
              <w:spacing w:before="120" w:after="120" w:line="276" w:lineRule="auto"/>
              <w:ind w:left="0"/>
              <w:rPr>
                <w:b/>
                <w:bCs/>
                <w:color w:val="000000"/>
                <w:sz w:val="20"/>
                <w:szCs w:val="20"/>
              </w:rPr>
            </w:pPr>
            <w:r w:rsidRPr="00D107EF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16. </w:t>
            </w:r>
            <w:r w:rsidRPr="00D107EF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107EF">
              <w:rPr>
                <w:b/>
                <w:bCs/>
                <w:color w:val="000000"/>
                <w:sz w:val="20"/>
                <w:szCs w:val="20"/>
              </w:rPr>
              <w:t>Kryteria kwalifikacji do leczenia kladrybiną</w:t>
            </w:r>
            <w:r w:rsidR="00CB413C" w:rsidRPr="00D107EF">
              <w:rPr>
                <w:b/>
                <w:bCs/>
                <w:color w:val="000000"/>
                <w:sz w:val="20"/>
                <w:szCs w:val="20"/>
              </w:rPr>
              <w:t xml:space="preserve"> w tabletkach w ramach programu</w:t>
            </w:r>
          </w:p>
          <w:p w:rsidR="00DF5898" w:rsidRPr="00D107EF" w:rsidRDefault="00DF5898" w:rsidP="00D107EF">
            <w:pPr>
              <w:spacing w:before="120"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 leczenia substancją czynną kladrybina w tabletkach kwalifikowani są pacjenci spełniający następujące kryteria:</w:t>
            </w:r>
          </w:p>
          <w:p w:rsidR="00DF5898" w:rsidRPr="00D107EF" w:rsidRDefault="00DF5898" w:rsidP="00D107EF">
            <w:pPr>
              <w:pStyle w:val="Akapitzlist"/>
              <w:spacing w:before="120" w:after="120" w:line="276" w:lineRule="auto"/>
              <w:ind w:left="0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1.1. Wiek od 18 roku życia;</w:t>
            </w:r>
          </w:p>
          <w:p w:rsidR="00DF5898" w:rsidRPr="00D107EF" w:rsidRDefault="00DF5898" w:rsidP="00D107EF">
            <w:pPr>
              <w:pStyle w:val="Akapitzlist"/>
              <w:spacing w:before="120" w:after="120" w:line="276" w:lineRule="auto"/>
              <w:ind w:left="0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 xml:space="preserve">1.2. Rozpoznanie postaci </w:t>
            </w:r>
            <w:r w:rsidR="00FD2BEF">
              <w:rPr>
                <w:color w:val="000000"/>
                <w:sz w:val="20"/>
                <w:szCs w:val="20"/>
              </w:rPr>
              <w:t>rzutowo-</w:t>
            </w:r>
            <w:proofErr w:type="spellStart"/>
            <w:r w:rsidR="00FD2BEF">
              <w:rPr>
                <w:color w:val="000000"/>
                <w:sz w:val="20"/>
                <w:szCs w:val="20"/>
              </w:rPr>
              <w:t>remisyjnej</w:t>
            </w:r>
            <w:proofErr w:type="spellEnd"/>
            <w:r w:rsidR="00FD2BEF">
              <w:rPr>
                <w:color w:val="000000"/>
                <w:sz w:val="20"/>
                <w:szCs w:val="20"/>
              </w:rPr>
              <w:t xml:space="preserve"> stwardnienia rozsianego </w:t>
            </w:r>
            <w:r w:rsidRPr="00D107EF">
              <w:rPr>
                <w:color w:val="000000"/>
                <w:sz w:val="20"/>
                <w:szCs w:val="20"/>
              </w:rPr>
              <w:t xml:space="preserve">(RRMS) – oparte na </w:t>
            </w:r>
            <w:r w:rsidR="00DB2F0B" w:rsidRPr="00D107EF">
              <w:rPr>
                <w:color w:val="000000"/>
                <w:sz w:val="20"/>
                <w:szCs w:val="20"/>
              </w:rPr>
              <w:t xml:space="preserve">aktualnych </w:t>
            </w:r>
            <w:r w:rsidRPr="00D107EF">
              <w:rPr>
                <w:color w:val="000000"/>
                <w:sz w:val="20"/>
                <w:szCs w:val="20"/>
              </w:rPr>
              <w:t>kryter</w:t>
            </w:r>
            <w:r w:rsidR="00DB2F0B" w:rsidRPr="00D107EF">
              <w:rPr>
                <w:color w:val="000000"/>
                <w:sz w:val="20"/>
                <w:szCs w:val="20"/>
              </w:rPr>
              <w:t xml:space="preserve">iach diagnostycznych McDonalda </w:t>
            </w:r>
            <w:r w:rsidRPr="00D107EF">
              <w:rPr>
                <w:color w:val="000000"/>
                <w:sz w:val="20"/>
                <w:szCs w:val="20"/>
              </w:rPr>
              <w:t>i spełnianie</w:t>
            </w:r>
            <w:r w:rsidR="00FD2BEF">
              <w:rPr>
                <w:color w:val="000000"/>
                <w:sz w:val="20"/>
                <w:szCs w:val="20"/>
              </w:rPr>
              <w:t xml:space="preserve"> kryterió</w:t>
            </w:r>
            <w:r w:rsidR="00A2210E">
              <w:rPr>
                <w:color w:val="000000"/>
                <w:sz w:val="20"/>
                <w:szCs w:val="20"/>
              </w:rPr>
              <w:t>w określonych w pkt. 1.3. lub 1</w:t>
            </w:r>
            <w:r w:rsidR="00FD2BEF">
              <w:rPr>
                <w:color w:val="000000"/>
                <w:sz w:val="20"/>
                <w:szCs w:val="20"/>
              </w:rPr>
              <w:t>.4 oraz 1</w:t>
            </w:r>
            <w:r w:rsidRPr="00D107EF">
              <w:rPr>
                <w:color w:val="000000"/>
                <w:sz w:val="20"/>
                <w:szCs w:val="20"/>
              </w:rPr>
              <w:t>.5.</w:t>
            </w:r>
          </w:p>
          <w:p w:rsidR="00DF5898" w:rsidRPr="00D107EF" w:rsidRDefault="00DF5898" w:rsidP="00D107EF">
            <w:pPr>
              <w:pStyle w:val="Akapitzlist"/>
              <w:spacing w:before="120" w:after="120" w:line="276" w:lineRule="auto"/>
              <w:ind w:left="0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 xml:space="preserve">1.3. Pacjenci, u których stwierdza się brak odpowiedzi na leczenie </w:t>
            </w:r>
            <w:r w:rsidRPr="00D107EF">
              <w:rPr>
                <w:bCs/>
                <w:color w:val="000000"/>
                <w:sz w:val="20"/>
                <w:szCs w:val="20"/>
              </w:rPr>
              <w:t xml:space="preserve">interferonem beta lub PEG-interferonem beta-1a lub octanem </w:t>
            </w:r>
            <w:proofErr w:type="spellStart"/>
            <w:r w:rsidRPr="00D107EF">
              <w:rPr>
                <w:bCs/>
                <w:color w:val="000000"/>
                <w:sz w:val="20"/>
                <w:szCs w:val="20"/>
              </w:rPr>
              <w:t>glatirameru</w:t>
            </w:r>
            <w:proofErr w:type="spellEnd"/>
            <w:r w:rsidRPr="00D107EF">
              <w:rPr>
                <w:bCs/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Pr="00D107EF">
              <w:rPr>
                <w:bCs/>
                <w:color w:val="000000"/>
                <w:sz w:val="20"/>
                <w:szCs w:val="20"/>
              </w:rPr>
              <w:t>fumaranem</w:t>
            </w:r>
            <w:proofErr w:type="spellEnd"/>
            <w:r w:rsidRPr="00D107EF">
              <w:rPr>
                <w:bCs/>
                <w:color w:val="000000"/>
                <w:sz w:val="20"/>
                <w:szCs w:val="20"/>
              </w:rPr>
              <w:t xml:space="preserve"> dimetylu lub </w:t>
            </w:r>
            <w:proofErr w:type="spellStart"/>
            <w:r w:rsidRPr="00D107EF">
              <w:rPr>
                <w:bCs/>
                <w:color w:val="000000"/>
                <w:sz w:val="20"/>
                <w:szCs w:val="20"/>
              </w:rPr>
              <w:t>teryflunomidem</w:t>
            </w:r>
            <w:proofErr w:type="spellEnd"/>
            <w:r w:rsidRPr="00D107EF">
              <w:rPr>
                <w:color w:val="000000"/>
                <w:sz w:val="20"/>
                <w:szCs w:val="20"/>
              </w:rPr>
              <w:t>, definiowany jako spełnienie obu poniższych warunków:</w:t>
            </w:r>
          </w:p>
          <w:p w:rsidR="00DF5898" w:rsidRPr="00D107EF" w:rsidRDefault="00DF5898" w:rsidP="003872CD">
            <w:pPr>
              <w:pStyle w:val="Akapitzlist"/>
              <w:numPr>
                <w:ilvl w:val="0"/>
                <w:numId w:val="38"/>
              </w:numPr>
              <w:spacing w:before="120" w:after="120" w:line="276" w:lineRule="auto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 xml:space="preserve">liczba i ciężkość rzutów: </w:t>
            </w:r>
          </w:p>
          <w:p w:rsidR="00DF5898" w:rsidRPr="00D107EF" w:rsidRDefault="00DF5898" w:rsidP="00D107EF">
            <w:pPr>
              <w:pStyle w:val="Akapitzlist"/>
              <w:spacing w:before="120" w:after="120" w:line="276" w:lineRule="auto"/>
              <w:ind w:left="360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a)  2 lub więcej rzutów umiarkowanych wymagających leczenia sterydami (wzrost EDSS o 1 do 2 pkt lub wzrost o 2 pkt w zakresie jednego lub dwóch układów funkcjonalnych lub o 1 pkt w zakresie czterech lub większej liczby układów funkcjonalnych) lub</w:t>
            </w:r>
          </w:p>
          <w:p w:rsidR="00DF5898" w:rsidRPr="00D107EF" w:rsidRDefault="00DF5898" w:rsidP="00D107EF">
            <w:pPr>
              <w:pStyle w:val="Akapitzlist"/>
              <w:spacing w:before="120" w:after="120" w:line="276" w:lineRule="auto"/>
              <w:ind w:left="360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b) 1 ciężki rzut po 6 miesiącach leczenia (wzrost EDSS większy niż w definicji rzutu umiarkowanego);</w:t>
            </w:r>
          </w:p>
          <w:p w:rsidR="00DF5898" w:rsidRPr="00D107EF" w:rsidRDefault="00DF5898" w:rsidP="003872CD">
            <w:pPr>
              <w:pStyle w:val="Akapitzlist"/>
              <w:numPr>
                <w:ilvl w:val="0"/>
                <w:numId w:val="38"/>
              </w:numPr>
              <w:spacing w:before="120" w:after="120" w:line="276" w:lineRule="auto"/>
              <w:ind w:left="426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zmiany w badaniu rezonansu magnetycznego, gdy stwierdza się jedno z poniższych:</w:t>
            </w:r>
          </w:p>
          <w:p w:rsidR="00DF5898" w:rsidRPr="00D107EF" w:rsidRDefault="00DF5898" w:rsidP="00D107EF">
            <w:pPr>
              <w:pStyle w:val="Akapitzlist"/>
              <w:spacing w:before="120" w:after="120" w:line="276" w:lineRule="auto"/>
              <w:ind w:left="360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a) więcej niż 1 nowa zmiana T1 Gd(+)</w:t>
            </w:r>
          </w:p>
          <w:p w:rsidR="00DF5898" w:rsidRPr="00D107EF" w:rsidRDefault="00DF5898" w:rsidP="00D107EF">
            <w:pPr>
              <w:pStyle w:val="Akapitzlist"/>
              <w:spacing w:before="120" w:after="120" w:line="276" w:lineRule="auto"/>
              <w:ind w:left="360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 xml:space="preserve">b) więcej niż 2 nowe zmiany w sekwencji T2 </w:t>
            </w:r>
          </w:p>
          <w:p w:rsidR="00DF5898" w:rsidRPr="00D107EF" w:rsidRDefault="00DF5898" w:rsidP="00D107EF">
            <w:pPr>
              <w:pStyle w:val="Akapitzlist"/>
              <w:spacing w:before="120" w:after="120" w:line="276" w:lineRule="auto"/>
              <w:ind w:left="0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1.4. Pacjenci z szybko rozwijająca się, ciężka postacią choroby rozpoznawaną kiedy zostaną spełnione oba poniższe parametry:</w:t>
            </w:r>
          </w:p>
          <w:p w:rsidR="00DF5898" w:rsidRPr="00D107EF" w:rsidRDefault="00DF5898" w:rsidP="003872CD">
            <w:pPr>
              <w:pStyle w:val="Akapitzlist"/>
              <w:numPr>
                <w:ilvl w:val="0"/>
                <w:numId w:val="37"/>
              </w:numPr>
              <w:spacing w:before="120" w:after="120" w:line="276" w:lineRule="auto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 xml:space="preserve">liczba i ciężkość rzutów: </w:t>
            </w:r>
          </w:p>
          <w:p w:rsidR="00DF5898" w:rsidRPr="00D107EF" w:rsidRDefault="00DF5898" w:rsidP="00D107EF">
            <w:pPr>
              <w:pStyle w:val="Akapitzlist"/>
              <w:spacing w:before="120" w:after="120" w:line="276" w:lineRule="auto"/>
              <w:ind w:left="360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 xml:space="preserve">- co najmniej dwa rzuty wymagające terapii sterydami, powodujące niesprawność (w czasie rzutu wzrost EDSS o minimum 2 pkt)  </w:t>
            </w:r>
          </w:p>
          <w:p w:rsidR="00DF5898" w:rsidRPr="00D107EF" w:rsidRDefault="00DF5898" w:rsidP="003872CD">
            <w:pPr>
              <w:pStyle w:val="Akapitzlist"/>
              <w:numPr>
                <w:ilvl w:val="0"/>
                <w:numId w:val="37"/>
              </w:numPr>
              <w:spacing w:before="120" w:after="120" w:line="276" w:lineRule="auto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zmiany w badaniu rezonansu magnetycznego:</w:t>
            </w:r>
          </w:p>
          <w:p w:rsidR="00DF5898" w:rsidRPr="00D107EF" w:rsidRDefault="00DF5898" w:rsidP="003872CD">
            <w:pPr>
              <w:pStyle w:val="Akapitzlist"/>
              <w:numPr>
                <w:ilvl w:val="0"/>
                <w:numId w:val="12"/>
              </w:numPr>
              <w:spacing w:before="120" w:after="120" w:line="276" w:lineRule="auto"/>
              <w:ind w:left="754" w:hanging="357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więcej niż jedna nowa zmiana GD(+) lub</w:t>
            </w:r>
          </w:p>
          <w:p w:rsidR="00DF5898" w:rsidRPr="00D107EF" w:rsidRDefault="00DF5898" w:rsidP="003872CD">
            <w:pPr>
              <w:pStyle w:val="Akapitzlist"/>
              <w:numPr>
                <w:ilvl w:val="0"/>
                <w:numId w:val="12"/>
              </w:numPr>
              <w:spacing w:before="120" w:after="120" w:line="276" w:lineRule="auto"/>
              <w:ind w:left="754" w:hanging="357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więcej niż dwie nowe zmiany w sekwencji T2 (w sumie nie mniej niż 9 zmian);</w:t>
            </w:r>
          </w:p>
          <w:p w:rsidR="00DF5898" w:rsidRPr="00D107EF" w:rsidRDefault="00DF5898" w:rsidP="00D107EF">
            <w:pPr>
              <w:spacing w:before="120"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1.5. Liczba limfocytów musi: </w:t>
            </w:r>
          </w:p>
          <w:p w:rsidR="00DF5898" w:rsidRPr="00D107EF" w:rsidRDefault="00DF5898" w:rsidP="00D107EF">
            <w:pPr>
              <w:pStyle w:val="Akapitzlist"/>
              <w:spacing w:before="120" w:after="120" w:line="276" w:lineRule="auto"/>
              <w:ind w:left="426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 xml:space="preserve">a) być prawidłowa przed rozpoczęciem stosowania kladrybiny w tabletkach w roku 1, </w:t>
            </w:r>
          </w:p>
          <w:p w:rsidR="00DF5898" w:rsidRPr="00D107EF" w:rsidRDefault="00DF5898" w:rsidP="00D107EF">
            <w:pPr>
              <w:pStyle w:val="Akapitzlist"/>
              <w:spacing w:before="120" w:after="120" w:line="276" w:lineRule="auto"/>
              <w:ind w:left="426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b) wynosić co najmniej 800 komórek/mm³ przed rozpoczęciem stosowania kladrybiny w tabletkach w roku 2.</w:t>
            </w:r>
          </w:p>
          <w:p w:rsidR="00DF5898" w:rsidRPr="00D107EF" w:rsidRDefault="00DF5898" w:rsidP="00D107EF">
            <w:pPr>
              <w:pStyle w:val="Default"/>
              <w:spacing w:before="120" w:after="120"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razie potrzeby można opóźnić cykl leczenia w roku 2. o okres do 6 miesięcy, aby umożliwić odnowę limfocytów. Jeśli taka odnowa trwa dłużej niż 6 miesięcy, pacjent nie powinien już otrzymywać kladrybiny w tabletkach.</w:t>
            </w:r>
          </w:p>
          <w:p w:rsidR="00BB3F71" w:rsidRPr="00BB3F71" w:rsidRDefault="00BB3F71" w:rsidP="00D107EF">
            <w:pPr>
              <w:pStyle w:val="Akapitzlist"/>
              <w:spacing w:before="120" w:after="120" w:line="276" w:lineRule="auto"/>
              <w:ind w:left="0"/>
              <w:rPr>
                <w:color w:val="000000"/>
                <w:sz w:val="20"/>
                <w:szCs w:val="20"/>
              </w:rPr>
            </w:pPr>
            <w:r w:rsidRPr="00BB3F71">
              <w:rPr>
                <w:color w:val="000000"/>
                <w:sz w:val="20"/>
                <w:szCs w:val="20"/>
              </w:rPr>
              <w:t xml:space="preserve">Ponadto do programu lekowego, w celu zapewnienia kontynuacji terapii są kwalifikowani również pacjenci,  którzy </w:t>
            </w:r>
            <w:r w:rsidR="00A2210E">
              <w:rPr>
                <w:color w:val="000000"/>
                <w:sz w:val="20"/>
                <w:szCs w:val="20"/>
              </w:rPr>
              <w:t>byli</w:t>
            </w:r>
            <w:r w:rsidRPr="00BB3F71">
              <w:rPr>
                <w:color w:val="000000"/>
                <w:sz w:val="20"/>
                <w:szCs w:val="20"/>
              </w:rPr>
              <w:t xml:space="preserve"> uprzednio leczeni kladrybiną w ramach innego sposobu finansowania terapii  przed dniem 1 listopada 2019 r., o ile na dzień rozpoczęcia terapii spełnili stosowne</w:t>
            </w:r>
            <w:r w:rsidR="00A2210E">
              <w:rPr>
                <w:color w:val="000000"/>
                <w:sz w:val="20"/>
                <w:szCs w:val="20"/>
              </w:rPr>
              <w:t xml:space="preserve"> kryteria kwalifikacji oraz jednocześnie nie spełniają</w:t>
            </w:r>
            <w:bookmarkStart w:id="0" w:name="_GoBack"/>
            <w:bookmarkEnd w:id="0"/>
            <w:r w:rsidRPr="00BB3F71">
              <w:rPr>
                <w:color w:val="000000"/>
                <w:sz w:val="20"/>
                <w:szCs w:val="20"/>
              </w:rPr>
              <w:t xml:space="preserve"> kryteriów uniemożliwiających włączenie do programu.</w:t>
            </w:r>
          </w:p>
          <w:p w:rsidR="00DF5898" w:rsidRPr="00D107EF" w:rsidRDefault="00DB2F0B" w:rsidP="00D107EF">
            <w:pPr>
              <w:pStyle w:val="Akapitzlist"/>
              <w:spacing w:before="120" w:after="120" w:line="276" w:lineRule="auto"/>
              <w:ind w:left="0"/>
              <w:rPr>
                <w:color w:val="000000"/>
                <w:sz w:val="20"/>
                <w:szCs w:val="20"/>
              </w:rPr>
            </w:pPr>
            <w:r w:rsidRPr="00D107EF">
              <w:rPr>
                <w:b/>
                <w:color w:val="000000"/>
                <w:sz w:val="20"/>
                <w:szCs w:val="20"/>
              </w:rPr>
              <w:t xml:space="preserve">17. </w:t>
            </w:r>
            <w:r w:rsidR="00DF5898" w:rsidRPr="00D107EF">
              <w:rPr>
                <w:color w:val="000000"/>
                <w:sz w:val="20"/>
                <w:szCs w:val="20"/>
              </w:rPr>
              <w:t xml:space="preserve"> </w:t>
            </w:r>
            <w:r w:rsidR="00DF5898" w:rsidRPr="00D107EF">
              <w:rPr>
                <w:b/>
                <w:bCs/>
                <w:color w:val="000000"/>
                <w:sz w:val="20"/>
                <w:szCs w:val="20"/>
              </w:rPr>
              <w:t>Przeciwskazania do sto</w:t>
            </w:r>
            <w:r w:rsidR="00CB413C" w:rsidRPr="00D107EF">
              <w:rPr>
                <w:b/>
                <w:bCs/>
                <w:color w:val="000000"/>
                <w:sz w:val="20"/>
                <w:szCs w:val="20"/>
              </w:rPr>
              <w:t>sowania kladrybiny w tabletkach</w:t>
            </w:r>
          </w:p>
          <w:p w:rsidR="00DF5898" w:rsidRPr="00D107EF" w:rsidRDefault="00DF5898" w:rsidP="003872CD">
            <w:pPr>
              <w:pStyle w:val="Akapitzlist"/>
              <w:numPr>
                <w:ilvl w:val="0"/>
                <w:numId w:val="39"/>
              </w:numPr>
              <w:spacing w:before="120" w:after="120" w:line="276" w:lineRule="auto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ciąża i karmienie piersią;</w:t>
            </w:r>
          </w:p>
          <w:p w:rsidR="00DF5898" w:rsidRPr="00D107EF" w:rsidRDefault="00DF5898" w:rsidP="003872CD">
            <w:pPr>
              <w:pStyle w:val="Akapitzlist"/>
              <w:numPr>
                <w:ilvl w:val="0"/>
                <w:numId w:val="39"/>
              </w:numPr>
              <w:spacing w:before="120" w:after="120" w:line="276" w:lineRule="auto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nadwrażliwość na kladrybinę lub substancje pomocnicze;</w:t>
            </w:r>
          </w:p>
          <w:p w:rsidR="00DF5898" w:rsidRPr="00D107EF" w:rsidRDefault="00DF5898" w:rsidP="003872CD">
            <w:pPr>
              <w:pStyle w:val="Akapitzlist"/>
              <w:numPr>
                <w:ilvl w:val="0"/>
                <w:numId w:val="39"/>
              </w:numPr>
              <w:spacing w:before="120" w:after="120" w:line="276" w:lineRule="auto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zakażenie ludzkim wirusem niedoboru odporności (HIV);</w:t>
            </w:r>
          </w:p>
          <w:p w:rsidR="00DF5898" w:rsidRPr="00D107EF" w:rsidRDefault="00DF5898" w:rsidP="003872CD">
            <w:pPr>
              <w:pStyle w:val="Akapitzlist"/>
              <w:numPr>
                <w:ilvl w:val="0"/>
                <w:numId w:val="39"/>
              </w:numPr>
              <w:spacing w:before="120" w:after="120" w:line="276" w:lineRule="auto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przewlekłe zakażenie w fazie aktywnej (gruźlica, zapalenie wątroby);</w:t>
            </w:r>
          </w:p>
          <w:p w:rsidR="00DF5898" w:rsidRPr="00D107EF" w:rsidRDefault="00DF5898" w:rsidP="003872CD">
            <w:pPr>
              <w:pStyle w:val="Akapitzlist"/>
              <w:numPr>
                <w:ilvl w:val="0"/>
                <w:numId w:val="39"/>
              </w:numPr>
              <w:spacing w:before="120" w:after="120" w:line="276" w:lineRule="auto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 xml:space="preserve">obecne leczenie lekami immunosupresyjnymi lub </w:t>
            </w:r>
            <w:proofErr w:type="spellStart"/>
            <w:r w:rsidRPr="00D107EF">
              <w:rPr>
                <w:color w:val="000000"/>
                <w:sz w:val="20"/>
                <w:szCs w:val="20"/>
              </w:rPr>
              <w:t>mielosupresyjnymi</w:t>
            </w:r>
            <w:proofErr w:type="spellEnd"/>
            <w:r w:rsidRPr="00D107EF">
              <w:rPr>
                <w:color w:val="000000"/>
                <w:sz w:val="20"/>
                <w:szCs w:val="20"/>
              </w:rPr>
              <w:t>;</w:t>
            </w:r>
          </w:p>
          <w:p w:rsidR="00DF5898" w:rsidRPr="00D107EF" w:rsidRDefault="00DF5898" w:rsidP="003872CD">
            <w:pPr>
              <w:pStyle w:val="Akapitzlist"/>
              <w:numPr>
                <w:ilvl w:val="0"/>
                <w:numId w:val="39"/>
              </w:numPr>
              <w:spacing w:before="120" w:after="120" w:line="276" w:lineRule="auto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aktywna złośliwa choroba nowotworowa;</w:t>
            </w:r>
          </w:p>
          <w:p w:rsidR="00DF5898" w:rsidRPr="00D107EF" w:rsidRDefault="00DF5898" w:rsidP="003872CD">
            <w:pPr>
              <w:pStyle w:val="Akapitzlist"/>
              <w:numPr>
                <w:ilvl w:val="0"/>
                <w:numId w:val="39"/>
              </w:numPr>
              <w:spacing w:before="120" w:after="120" w:line="276" w:lineRule="auto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umiarkowana lub ciężka niewydolność nerek (</w:t>
            </w:r>
            <w:proofErr w:type="spellStart"/>
            <w:r w:rsidRPr="00D107EF">
              <w:rPr>
                <w:color w:val="000000"/>
                <w:sz w:val="20"/>
                <w:szCs w:val="20"/>
              </w:rPr>
              <w:t>klirens</w:t>
            </w:r>
            <w:proofErr w:type="spellEnd"/>
            <w:r w:rsidRPr="00D107EF">
              <w:rPr>
                <w:color w:val="000000"/>
                <w:sz w:val="20"/>
                <w:szCs w:val="20"/>
              </w:rPr>
              <w:t xml:space="preserve"> kreatyniny &lt;60 ml/min);</w:t>
            </w:r>
          </w:p>
          <w:p w:rsidR="00DF5898" w:rsidRPr="00D107EF" w:rsidRDefault="00DF5898" w:rsidP="003872CD">
            <w:pPr>
              <w:pStyle w:val="Akapitzlist"/>
              <w:numPr>
                <w:ilvl w:val="0"/>
                <w:numId w:val="39"/>
              </w:numPr>
              <w:spacing w:before="120" w:after="120" w:line="276" w:lineRule="auto"/>
              <w:rPr>
                <w:color w:val="000000"/>
                <w:sz w:val="20"/>
                <w:szCs w:val="20"/>
              </w:rPr>
            </w:pPr>
            <w:r w:rsidRPr="00D107EF">
              <w:rPr>
                <w:color w:val="000000"/>
                <w:sz w:val="20"/>
                <w:szCs w:val="20"/>
              </w:rPr>
              <w:t>inne - zgodnie z zapisami aktualnej Charakterystyki Produktu Leczniczego.</w:t>
            </w:r>
          </w:p>
          <w:p w:rsidR="00DF5898" w:rsidRPr="00D107EF" w:rsidRDefault="00DB2F0B" w:rsidP="00D107EF">
            <w:pPr>
              <w:pStyle w:val="Akapitzlist"/>
              <w:spacing w:before="120" w:after="120" w:line="276" w:lineRule="auto"/>
              <w:ind w:left="0"/>
              <w:rPr>
                <w:b/>
                <w:bCs/>
                <w:color w:val="000000"/>
                <w:sz w:val="20"/>
                <w:szCs w:val="20"/>
              </w:rPr>
            </w:pPr>
            <w:r w:rsidRPr="00D107EF">
              <w:rPr>
                <w:b/>
                <w:bCs/>
                <w:color w:val="000000"/>
                <w:sz w:val="20"/>
                <w:szCs w:val="20"/>
              </w:rPr>
              <w:t>18</w:t>
            </w:r>
            <w:r w:rsidR="00CB413C" w:rsidRPr="00D107EF">
              <w:rPr>
                <w:b/>
                <w:bCs/>
                <w:color w:val="000000"/>
                <w:sz w:val="20"/>
                <w:szCs w:val="20"/>
              </w:rPr>
              <w:t>. Kryteria wyłączenia</w:t>
            </w:r>
          </w:p>
          <w:p w:rsidR="00DF5898" w:rsidRPr="00D107EF" w:rsidRDefault="00DF5898" w:rsidP="003872CD">
            <w:pPr>
              <w:pStyle w:val="Akapitzlist"/>
              <w:numPr>
                <w:ilvl w:val="0"/>
                <w:numId w:val="40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nadwrażliwość na kladrybinę lub substancje pomocnicze;</w:t>
            </w:r>
          </w:p>
          <w:p w:rsidR="00DF5898" w:rsidRPr="00D107EF" w:rsidRDefault="00DF5898" w:rsidP="003872CD">
            <w:pPr>
              <w:pStyle w:val="Akapitzlist"/>
              <w:numPr>
                <w:ilvl w:val="0"/>
                <w:numId w:val="40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rezygnacja pacjenta;</w:t>
            </w:r>
          </w:p>
          <w:p w:rsidR="00DF5898" w:rsidRPr="00D107EF" w:rsidRDefault="00DF5898" w:rsidP="003872CD">
            <w:pPr>
              <w:pStyle w:val="Default"/>
              <w:numPr>
                <w:ilvl w:val="0"/>
                <w:numId w:val="40"/>
              </w:numPr>
              <w:spacing w:before="120" w:after="120"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jeśli odnowa limfocytów przed podaniem cyklu leczenia w roku 2 trwa dłużej niż 6 miesięcy, pacjent nie powinien już otrzymywać kladrybiny w tabletkach;</w:t>
            </w:r>
          </w:p>
          <w:p w:rsidR="00DF5898" w:rsidRPr="00D107EF" w:rsidRDefault="00DF5898" w:rsidP="003872CD">
            <w:pPr>
              <w:pStyle w:val="Default"/>
              <w:numPr>
                <w:ilvl w:val="0"/>
                <w:numId w:val="40"/>
              </w:numPr>
              <w:spacing w:before="120" w:after="120"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ciąża i karmienie piersią;</w:t>
            </w:r>
          </w:p>
          <w:p w:rsidR="00DF5898" w:rsidRDefault="00DF5898" w:rsidP="003872CD">
            <w:pPr>
              <w:pStyle w:val="Default"/>
              <w:numPr>
                <w:ilvl w:val="0"/>
                <w:numId w:val="40"/>
              </w:numPr>
              <w:spacing w:before="120" w:after="120"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pojawienie się innych przeciwwskazań wymienionych w Charak</w:t>
            </w:r>
            <w:r w:rsidR="00D87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terystyce Produktu Leczniczego;</w:t>
            </w:r>
          </w:p>
          <w:p w:rsidR="00D87CA5" w:rsidRPr="00D107EF" w:rsidRDefault="00D87CA5" w:rsidP="00D87CA5">
            <w:pPr>
              <w:pStyle w:val="Default"/>
              <w:numPr>
                <w:ilvl w:val="0"/>
                <w:numId w:val="40"/>
              </w:numPr>
              <w:spacing w:before="120" w:after="120"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87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przejśc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ie w postać wtórnie postępującą;</w:t>
            </w:r>
          </w:p>
          <w:p w:rsidR="00DF5898" w:rsidRPr="00D107EF" w:rsidRDefault="00DB2F0B" w:rsidP="00D107EF">
            <w:pPr>
              <w:spacing w:before="120" w:after="120"/>
              <w:ind w:left="578" w:hanging="57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  <w:r w:rsidR="00DF5898" w:rsidRPr="00D107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Określe</w:t>
            </w:r>
            <w:r w:rsidR="003872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 czasu leczenia w programie</w:t>
            </w:r>
          </w:p>
          <w:p w:rsidR="00DF5898" w:rsidRPr="00D107EF" w:rsidRDefault="00DF5898" w:rsidP="00D107EF">
            <w:pPr>
              <w:pStyle w:val="Default"/>
              <w:spacing w:before="120" w:after="12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Leczenie kladrybiną w tabletkach prowadzone jest w dwóch cyklach, podawanych na początku dwóch kolejnych lat: </w:t>
            </w:r>
            <w:r w:rsidRPr="00D107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każdy kwalifikujący się pacjent otrzymuje 2 cykle leczenia kladrybiną w tabletkach – pierwszy cykl w pierwszym roku i drugi cykl w drugim roku leczenia. Każdy cykl składa się z 2 tygodni leczenia, jednego na początku pierwszego miesiąca i jednego na początku drugiego miesiąca danego roku leczenia. Każdy tydzień leczenia trwa 4 lub 5 dni, podczas których pacjent otrzymuje 10 mg lub 20 mg (jedną lub dwie tabletki) w pojedynczej dawce dobowej, w zależności od masy ciała – zgodnie z Charakterystyką Produktu Leczniczego.</w:t>
            </w:r>
          </w:p>
          <w:p w:rsidR="00DF5898" w:rsidRPr="00D107EF" w:rsidRDefault="00DF5898" w:rsidP="00D107EF">
            <w:pPr>
              <w:pStyle w:val="Default"/>
              <w:spacing w:before="120" w:after="12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 zakończeniu 2 cykli leczenia nie jest wymagane dalsze leczenie kladrybiną w roku 3. i 4.</w:t>
            </w:r>
          </w:p>
          <w:p w:rsidR="00DF5898" w:rsidRPr="00D107EF" w:rsidRDefault="00DF5898" w:rsidP="00D107EF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razie potrzeby można opóźnić cykl leczenia w roku 2. o okres do 6 miesięcy, aby umożliwić odnowę limfocytów. Jeśli taka odnowa trwa dłużej niż 6 miesięcy, pacjent nie powinien już otrzymywać kladrybiny w tabletkach.</w:t>
            </w:r>
          </w:p>
        </w:tc>
        <w:tc>
          <w:tcPr>
            <w:tcW w:w="1451" w:type="pct"/>
          </w:tcPr>
          <w:p w:rsidR="00783659" w:rsidRPr="00D107EF" w:rsidRDefault="0019390C" w:rsidP="00D107EF">
            <w:pPr>
              <w:pStyle w:val="Akapitzlist"/>
              <w:spacing w:before="120" w:after="120" w:line="276" w:lineRule="auto"/>
              <w:ind w:left="0"/>
              <w:rPr>
                <w:b/>
                <w:bCs/>
                <w:sz w:val="20"/>
                <w:szCs w:val="20"/>
              </w:rPr>
            </w:pPr>
            <w:r w:rsidRPr="00D107EF">
              <w:rPr>
                <w:b/>
                <w:bCs/>
                <w:sz w:val="20"/>
                <w:szCs w:val="20"/>
              </w:rPr>
              <w:lastRenderedPageBreak/>
              <w:t xml:space="preserve">1. </w:t>
            </w:r>
            <w:proofErr w:type="spellStart"/>
            <w:r w:rsidR="00783659" w:rsidRPr="00D107EF">
              <w:rPr>
                <w:b/>
                <w:bCs/>
                <w:sz w:val="20"/>
                <w:szCs w:val="20"/>
              </w:rPr>
              <w:t>Fingolimod</w:t>
            </w:r>
            <w:proofErr w:type="spellEnd"/>
          </w:p>
          <w:p w:rsidR="0019390C" w:rsidRPr="00D107EF" w:rsidRDefault="00783659" w:rsidP="00D107EF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Zalec</w:t>
            </w:r>
            <w:r w:rsidR="005E09C7">
              <w:rPr>
                <w:rFonts w:ascii="Times New Roman" w:hAnsi="Times New Roman" w:cs="Times New Roman"/>
                <w:sz w:val="20"/>
                <w:szCs w:val="20"/>
              </w:rPr>
              <w:t xml:space="preserve">ane dawkowanie </w:t>
            </w:r>
            <w:proofErr w:type="spellStart"/>
            <w:r w:rsidR="005E09C7">
              <w:rPr>
                <w:rFonts w:ascii="Times New Roman" w:hAnsi="Times New Roman" w:cs="Times New Roman"/>
                <w:sz w:val="20"/>
                <w:szCs w:val="20"/>
              </w:rPr>
              <w:t>fingolimodu</w:t>
            </w:r>
            <w:proofErr w:type="spellEnd"/>
            <w:r w:rsidR="005E09C7">
              <w:rPr>
                <w:rFonts w:ascii="Times New Roman" w:hAnsi="Times New Roman" w:cs="Times New Roman"/>
                <w:sz w:val="20"/>
                <w:szCs w:val="20"/>
              </w:rPr>
              <w:t xml:space="preserve"> to 0,</w:t>
            </w: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5 mg doustnie raz na dobę.</w:t>
            </w:r>
          </w:p>
          <w:p w:rsidR="00783659" w:rsidRPr="00D107EF" w:rsidRDefault="0019390C" w:rsidP="00D107EF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</w:t>
            </w:r>
            <w:proofErr w:type="spellStart"/>
            <w:r w:rsidR="00783659" w:rsidRPr="00D107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Natalizumab</w:t>
            </w:r>
            <w:proofErr w:type="spellEnd"/>
          </w:p>
          <w:p w:rsidR="001413F4" w:rsidRPr="00D107EF" w:rsidRDefault="00783659" w:rsidP="00D107EF">
            <w:pPr>
              <w:pStyle w:val="Akapitzlist"/>
              <w:spacing w:before="120" w:after="120" w:line="276" w:lineRule="auto"/>
              <w:ind w:left="0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Zalecane dawkowanie </w:t>
            </w:r>
            <w:proofErr w:type="spellStart"/>
            <w:r w:rsidRPr="00D107EF">
              <w:rPr>
                <w:sz w:val="20"/>
                <w:szCs w:val="20"/>
              </w:rPr>
              <w:t>natalizumabu</w:t>
            </w:r>
            <w:proofErr w:type="spellEnd"/>
            <w:r w:rsidRPr="00D107EF">
              <w:rPr>
                <w:sz w:val="20"/>
                <w:szCs w:val="20"/>
              </w:rPr>
              <w:t xml:space="preserve"> to 300 mg dożylnie, we wlewie kroplowym 100 ml 0,9% NaCl co 4 tygodnie.</w:t>
            </w:r>
          </w:p>
          <w:p w:rsidR="00783659" w:rsidRPr="00D107EF" w:rsidRDefault="00783659" w:rsidP="00D107EF">
            <w:pPr>
              <w:pStyle w:val="Akapitzlist"/>
              <w:spacing w:before="120" w:after="120" w:line="276" w:lineRule="auto"/>
              <w:ind w:left="0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Przerywając podawanie </w:t>
            </w:r>
            <w:proofErr w:type="spellStart"/>
            <w:r w:rsidRPr="00D107EF">
              <w:rPr>
                <w:sz w:val="20"/>
                <w:szCs w:val="20"/>
              </w:rPr>
              <w:t>natalizumabu</w:t>
            </w:r>
            <w:proofErr w:type="spellEnd"/>
            <w:r w:rsidRPr="00D107EF">
              <w:rPr>
                <w:sz w:val="20"/>
                <w:szCs w:val="20"/>
              </w:rPr>
              <w:t xml:space="preserve"> przed zastosowaniem alternatywnego leczenia należy uwzględnić, że </w:t>
            </w:r>
            <w:proofErr w:type="spellStart"/>
            <w:r w:rsidRPr="00D107EF">
              <w:rPr>
                <w:sz w:val="20"/>
                <w:szCs w:val="20"/>
              </w:rPr>
              <w:t>natalizumab</w:t>
            </w:r>
            <w:proofErr w:type="spellEnd"/>
            <w:r w:rsidRPr="00D107EF">
              <w:rPr>
                <w:sz w:val="20"/>
                <w:szCs w:val="20"/>
              </w:rPr>
              <w:t xml:space="preserve"> utrzymuje się we krwi i jego działania farmakodynamiczne trwają przez około 12 tygodni po podaniu ostatniej dawki.</w:t>
            </w:r>
          </w:p>
          <w:p w:rsidR="0019390C" w:rsidRPr="00D107EF" w:rsidRDefault="0019390C" w:rsidP="00D107EF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</w:t>
            </w:r>
            <w:proofErr w:type="spellStart"/>
            <w:r w:rsidRPr="00D107EF">
              <w:rPr>
                <w:rFonts w:ascii="Times New Roman" w:hAnsi="Times New Roman" w:cs="Times New Roman"/>
                <w:b/>
                <w:sz w:val="20"/>
                <w:szCs w:val="20"/>
              </w:rPr>
              <w:t>Okrelizumab</w:t>
            </w:r>
            <w:proofErr w:type="spellEnd"/>
          </w:p>
          <w:p w:rsidR="00F451D3" w:rsidRPr="00D107EF" w:rsidRDefault="00F451D3" w:rsidP="00D107EF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Początkową dawkę 600 mg podaje się w dwóch oddzielnych wlewach dożylnych; najpierw wlew 300 mg, a 2 tygodnie później drugi wlew 300 mg</w:t>
            </w:r>
          </w:p>
          <w:p w:rsidR="00202951" w:rsidRPr="00D107EF" w:rsidRDefault="00F451D3" w:rsidP="00D107EF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Kolejne dawki to pojedynczy wlew dożylny dawki 600 mg podawany co 6 miesięcy. Pierwszą kolejną </w:t>
            </w:r>
            <w:r w:rsidRPr="00D107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dawkę 600 mg należy podać sześć miesięcy po pierwszym wlewie dawki początkowej. Pomiędzy kolejnymi dawkami należy zachować odstęp minimum 5 miesięcy.</w:t>
            </w:r>
          </w:p>
          <w:p w:rsidR="00F451D3" w:rsidRDefault="00F451D3" w:rsidP="00D107EF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Szczegółowe informacje dotyczące dawkowania znajdują się w aktualnej </w:t>
            </w:r>
            <w:r w:rsidRPr="00D107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Charakterystyce Produktu Leczniczego</w:t>
            </w: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13D7" w:rsidRPr="00D107EF" w:rsidRDefault="00B613D7" w:rsidP="00B613D7">
            <w:pPr>
              <w:spacing w:before="120"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1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Konieczna premedykacja zgodnie z Charakterystyką Produktu Leczniczego</w:t>
            </w:r>
          </w:p>
          <w:p w:rsidR="00B613D7" w:rsidRPr="00B613D7" w:rsidRDefault="00B613D7" w:rsidP="00B613D7">
            <w:pPr>
              <w:spacing w:before="120"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Wymagany jest d</w:t>
            </w:r>
            <w:r w:rsidRPr="00B61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ostęp do środków medycznych niezbędny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 do leczenia ciężkich reakcji </w:t>
            </w:r>
            <w:r w:rsidRPr="00B61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związanych z wlewem </w:t>
            </w:r>
          </w:p>
          <w:p w:rsidR="0019390C" w:rsidRPr="00D107EF" w:rsidRDefault="0019390C" w:rsidP="00D107EF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b/>
                <w:sz w:val="20"/>
                <w:szCs w:val="20"/>
              </w:rPr>
              <w:t>4. Kladrybina</w:t>
            </w:r>
          </w:p>
          <w:p w:rsidR="00202951" w:rsidRPr="00D107EF" w:rsidRDefault="00202951" w:rsidP="00D107EF">
            <w:pPr>
              <w:spacing w:before="120"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Zalecana dawka całkowita kladrybiny w tabletkach to 3,5 mg/kg masy ciała przez 2 lata, podawana w 1 cyklu leczenia 1,75 mg/kg na rok. Każdy cykl składa się z 2 tygodni leczenia, jednego na początku pierwszego miesiąca i jednego na początku drugiego miesiąca danego roku leczenia. W każdym tygodniu leczenie trwa 4 lub 5 dni, podczas których pacjent otrzymuje 10 mg lub 20 mg (jedną lub dwie tabletki) w pojedynczej dawce dobowej, w zależności od masy ciała.  Po zakończeniu 2 cykli leczenia nie jest wymagane dalsze leczenie kladrybiną w roku 3. i 4. </w:t>
            </w:r>
          </w:p>
          <w:p w:rsidR="00202951" w:rsidRPr="00D107EF" w:rsidRDefault="00202951" w:rsidP="00D107EF">
            <w:pPr>
              <w:spacing w:before="120"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Szczegółowe informacje dotyczące dawkowania znajdują się w aktualnej </w:t>
            </w:r>
            <w:r w:rsidRPr="00D107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Charakterystyce Produktu Leczniczego</w:t>
            </w: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02951" w:rsidRPr="00D107EF" w:rsidRDefault="00202951" w:rsidP="00D107EF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16" w:type="pct"/>
            <w:tcBorders>
              <w:right w:val="single" w:sz="4" w:space="0" w:color="auto"/>
            </w:tcBorders>
          </w:tcPr>
          <w:p w:rsidR="00783659" w:rsidRPr="00D107EF" w:rsidRDefault="00783659" w:rsidP="00D107EF">
            <w:pPr>
              <w:spacing w:before="120" w:after="120"/>
              <w:ind w:left="26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 Badania przy kwalif</w:t>
            </w:r>
            <w:r w:rsidR="00CB413C" w:rsidRPr="00D107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ikacji do leczenia </w:t>
            </w:r>
            <w:proofErr w:type="spellStart"/>
            <w:r w:rsidR="00CB413C" w:rsidRPr="00D107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fingolimodem</w:t>
            </w:r>
            <w:proofErr w:type="spellEnd"/>
          </w:p>
          <w:p w:rsidR="00783659" w:rsidRPr="00D107EF" w:rsidRDefault="00783659" w:rsidP="00D107EF">
            <w:pPr>
              <w:spacing w:before="120" w:after="12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1.1. Badania biochemiczne, w tym oceniające funkcję wątroby;</w:t>
            </w:r>
          </w:p>
          <w:p w:rsidR="00783659" w:rsidRPr="00D107EF" w:rsidRDefault="00783659" w:rsidP="00D107EF">
            <w:pPr>
              <w:spacing w:before="120" w:after="12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1.2. Morfologia krwi z rozmazem;</w:t>
            </w:r>
          </w:p>
          <w:p w:rsidR="00783659" w:rsidRPr="00D107EF" w:rsidRDefault="00783659" w:rsidP="00D107EF">
            <w:pPr>
              <w:spacing w:before="120" w:after="120"/>
              <w:ind w:left="8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1.3. Rezonans magnetyczny z kontrastem; rezonans magnetyczny wykonuje się w okresie kwalifikacji do programu. Jeżeli leczenie nie zostanie rozpoczęte do </w:t>
            </w:r>
            <w:r w:rsidR="001449D0"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60 </w:t>
            </w: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dni od jego wykonania to badanie powtarza się tuż przed zastosowaniem pierwszej dawki leku;</w:t>
            </w:r>
          </w:p>
          <w:p w:rsidR="00783659" w:rsidRPr="00D107EF" w:rsidRDefault="00783659" w:rsidP="00D107EF">
            <w:pPr>
              <w:spacing w:before="120" w:after="12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1.4. Konsultacja kardiologiczna przed włączeniem leczenia </w:t>
            </w:r>
            <w:proofErr w:type="spellStart"/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fingolimodem</w:t>
            </w:r>
            <w:proofErr w:type="spellEnd"/>
            <w:r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 u pacjentów otrzymujących leki mogące zwalniać akcję serca (</w:t>
            </w:r>
            <w:proofErr w:type="spellStart"/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betablokery</w:t>
            </w:r>
            <w:proofErr w:type="spellEnd"/>
            <w:r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werapamil</w:t>
            </w:r>
            <w:proofErr w:type="spellEnd"/>
            <w:r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digoksyna</w:t>
            </w:r>
            <w:proofErr w:type="spellEnd"/>
            <w:r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, leki </w:t>
            </w:r>
            <w:proofErr w:type="spellStart"/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cholinolityczne</w:t>
            </w:r>
            <w:proofErr w:type="spellEnd"/>
            <w:r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, pilokarpina itp.) oraz u pacjentów z wywiadem w kierunku zaburzeń rytmu i przewodzenia, niewydolności serca, omdleń </w:t>
            </w:r>
            <w:proofErr w:type="spellStart"/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kardiogennych</w:t>
            </w:r>
            <w:proofErr w:type="spellEnd"/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, lub innej znaczącej choroby serca;</w:t>
            </w:r>
          </w:p>
          <w:p w:rsidR="00783659" w:rsidRPr="00D107EF" w:rsidRDefault="00783659" w:rsidP="00D107EF">
            <w:pPr>
              <w:spacing w:before="120" w:after="12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1.5. Konsultacja okulistyczna - u pacjentów  z wywiadem w kierunku cukrzycy lub zapalenia błony naczyniowej oka;</w:t>
            </w:r>
          </w:p>
          <w:p w:rsidR="00783659" w:rsidRPr="00D107EF" w:rsidRDefault="00783659" w:rsidP="00D107EF">
            <w:pPr>
              <w:spacing w:before="120" w:after="12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1.6. Oznaczenie poziomu przeciwciał przeciw wirusowi ospy wietrznej i półpaśca (VZV); w razie braku przeciwciał przeciw </w:t>
            </w:r>
            <w:r w:rsidRPr="00D107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VZV konieczne jest przeprowadzenie szczepienia przeciw VZV miesiąc przed włączeniem leczenia </w:t>
            </w:r>
            <w:proofErr w:type="spellStart"/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fingolimodem</w:t>
            </w:r>
            <w:proofErr w:type="spellEnd"/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83659" w:rsidRPr="00D107EF" w:rsidRDefault="00783659" w:rsidP="00D107EF">
            <w:pPr>
              <w:spacing w:before="120" w:after="12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1.7. U kobiet w wieku reprodukcyjnym – test ciążowy, który musi być negatywny przed rozpoczęciem leczenia </w:t>
            </w:r>
            <w:proofErr w:type="spellStart"/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fingolimodem</w:t>
            </w:r>
            <w:proofErr w:type="spellEnd"/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83659" w:rsidRPr="00D107EF" w:rsidRDefault="00783659" w:rsidP="00D107EF">
            <w:pPr>
              <w:spacing w:before="120" w:after="12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1.8. Konsultacja dermatologiczna w ciągu 6 miesięcy przed rozpoczęciem leczenia.</w:t>
            </w:r>
          </w:p>
          <w:p w:rsidR="00783659" w:rsidRPr="00D107EF" w:rsidRDefault="00783659" w:rsidP="00D107EF">
            <w:pPr>
              <w:spacing w:before="120" w:after="12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Ponadto pacjenci włączeni do leczenia </w:t>
            </w:r>
            <w:proofErr w:type="spellStart"/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fingolimodem</w:t>
            </w:r>
            <w:proofErr w:type="spellEnd"/>
            <w:r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 powinni obligatoryjnie zapoznać się z materiałami edukacyjnymi dostarczonymi przez producenta leku w ramach tzw. „planu zarządzania ryzykiem” i potwierdzić ten fakt pisemnie w dokumentacji medycznej.</w:t>
            </w:r>
          </w:p>
          <w:p w:rsidR="00783659" w:rsidRPr="00D107EF" w:rsidRDefault="00CB413C" w:rsidP="00D107EF">
            <w:pPr>
              <w:spacing w:before="120" w:after="120"/>
              <w:ind w:left="26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Inicjacja leczenia</w:t>
            </w:r>
          </w:p>
          <w:p w:rsidR="00783659" w:rsidRPr="00D107EF" w:rsidRDefault="00783659" w:rsidP="00D107EF">
            <w:pPr>
              <w:spacing w:before="120" w:after="12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2.1. Inicjacja leczenia musi być przeprowadzona w warunkach krótkotrwałej hospitalizacji bądź w poradni przyszpitalnej, gdzie istnieje możliwość ciągłego monitorowania zapisu EKG, oraz pilnej hospitalizacji w razie konieczności leczenia zaburzeń rytmu lub w razie konieczności leczenia zaburzeń przewodzenia. Wszyscy pacjenci w dniu inicjacji leczenia muszą być poddani 6-godzinnej ciągłej obserwacji w kierunku potencjalnie mogących wystąpić zaburzeń rytmu lub przewodzenia;</w:t>
            </w:r>
          </w:p>
          <w:p w:rsidR="00783659" w:rsidRPr="00D107EF" w:rsidRDefault="00783659" w:rsidP="00D107EF">
            <w:pPr>
              <w:spacing w:before="120" w:after="12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2.2. W toku opisanej inicjacji wykonuje się badania: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13"/>
              </w:numPr>
              <w:spacing w:before="120" w:after="120" w:line="276" w:lineRule="auto"/>
              <w:ind w:left="316" w:hanging="316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Badanie EKG z 12 </w:t>
            </w:r>
            <w:proofErr w:type="spellStart"/>
            <w:r w:rsidRPr="00D107EF">
              <w:rPr>
                <w:sz w:val="20"/>
                <w:szCs w:val="20"/>
              </w:rPr>
              <w:t>odprowadzeniami</w:t>
            </w:r>
            <w:proofErr w:type="spellEnd"/>
            <w:r w:rsidRPr="00D107EF">
              <w:rPr>
                <w:sz w:val="20"/>
                <w:szCs w:val="20"/>
              </w:rPr>
              <w:t xml:space="preserve"> oraz pomiar ciśnienia tętniczego bezpośrednio przez podaniem leku oraz po 6 godzinach od momentu podania leku;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13"/>
              </w:numPr>
              <w:spacing w:before="120" w:after="120" w:line="276" w:lineRule="auto"/>
              <w:ind w:left="316" w:hanging="316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Ciągłe monitorowanie EKG w czasie rzeczywistym (z użyciem kardiomonitora) w trakcie 6-godzinnej obserwacji po pierwszej dawce leku;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13"/>
              </w:numPr>
              <w:spacing w:before="120" w:after="120" w:line="276" w:lineRule="auto"/>
              <w:ind w:left="316" w:hanging="316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lastRenderedPageBreak/>
              <w:t>Pomiary ciśnienia tętniczego krwi i tętna co godzinę do zakończenia obserwacji, których wyniki musza być odnotowane w dokumentacji pacjenta;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13"/>
              </w:numPr>
              <w:spacing w:before="120" w:after="120" w:line="276" w:lineRule="auto"/>
              <w:ind w:left="316" w:hanging="316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W razie wystąpienia zaburzeń rytmu lub przewodzenia konieczne może być wykonanie dodatkowego badania EKG oraz przedłużenie monitorowania EKG do dnia następnego lub włączenie leczenia farmakologicznego;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13"/>
              </w:numPr>
              <w:spacing w:before="120" w:after="120" w:line="276" w:lineRule="auto"/>
              <w:ind w:left="316" w:hanging="316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W przypadku  pacjentów z kardiologicznymi czynnikami ryzyka zdefiniowanymi w przeciwwskazaniach względnych obowiązkowa jest obserwacja do następnego dnia po włączeniu leczenia </w:t>
            </w:r>
            <w:proofErr w:type="spellStart"/>
            <w:r w:rsidRPr="00D107EF">
              <w:rPr>
                <w:sz w:val="20"/>
                <w:szCs w:val="20"/>
              </w:rPr>
              <w:t>fingolimodem</w:t>
            </w:r>
            <w:proofErr w:type="spellEnd"/>
            <w:r w:rsidRPr="00D107EF">
              <w:rPr>
                <w:sz w:val="20"/>
                <w:szCs w:val="20"/>
              </w:rPr>
              <w:t xml:space="preserve">. U takich pacjentów konieczne jest przeprowadzenie konsultacji kardiologicznej przed planowanym włączeniem leczenia, a w przypadku pacjentów leczonych lekami zwalniającymi akcję serca zaleca się o ile jest to możliwe zmianę leczenia na takie, które nie powoduje zwolnienia akcji serca. </w:t>
            </w:r>
          </w:p>
          <w:p w:rsidR="00783659" w:rsidRPr="00D107EF" w:rsidRDefault="00783659" w:rsidP="00D107EF">
            <w:pPr>
              <w:pStyle w:val="Akapitzlist"/>
              <w:spacing w:before="120" w:after="120" w:line="276" w:lineRule="auto"/>
              <w:ind w:left="316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Identyczną procedurę monitorowania należy przeprowadzić również u pacjentów, u których doszło do przerwy w podawaniu </w:t>
            </w:r>
            <w:proofErr w:type="spellStart"/>
            <w:r w:rsidRPr="00D107EF">
              <w:rPr>
                <w:sz w:val="20"/>
                <w:szCs w:val="20"/>
              </w:rPr>
              <w:t>fingolimodu</w:t>
            </w:r>
            <w:proofErr w:type="spellEnd"/>
            <w:r w:rsidRPr="00D107EF">
              <w:rPr>
                <w:sz w:val="20"/>
                <w:szCs w:val="20"/>
              </w:rPr>
              <w:t xml:space="preserve"> trwającej dłużej niż 14 dni;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13"/>
              </w:numPr>
              <w:spacing w:before="120" w:after="120" w:line="276" w:lineRule="auto"/>
              <w:ind w:left="316" w:hanging="316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W przypadku wystąpienia istotnego wpływu na układ krążenia, obserwację pacjenta należy przedłużyć do czasu jego ustąpienia, nie krócej jednak niż do następnego dnia. Kryteria przedłużenia obserwacji obejmują:</w:t>
            </w:r>
          </w:p>
          <w:p w:rsidR="00783659" w:rsidRPr="00D107EF" w:rsidRDefault="00783659" w:rsidP="00D107EF">
            <w:pPr>
              <w:spacing w:before="120" w:after="120"/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a) wystąpienie w dowolnym momencie  podczas 6-godzinnego okresu monitorowania pacjenta po podaniu pierwszej dawki </w:t>
            </w:r>
            <w:proofErr w:type="spellStart"/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fingolimodu</w:t>
            </w:r>
            <w:proofErr w:type="spellEnd"/>
            <w:r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 bloku serca III stopnia,</w:t>
            </w:r>
          </w:p>
          <w:p w:rsidR="00783659" w:rsidRPr="00D107EF" w:rsidRDefault="00783659" w:rsidP="00D107EF">
            <w:pPr>
              <w:spacing w:before="120" w:after="120"/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b) obecność poniższych objawów w momencie zakończenia 6-godzinnej obserwacji:</w:t>
            </w:r>
          </w:p>
          <w:p w:rsidR="00783659" w:rsidRPr="00D107EF" w:rsidRDefault="00783659" w:rsidP="00D107EF">
            <w:pPr>
              <w:spacing w:before="120" w:after="120"/>
              <w:ind w:left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- akcja serca poniżej 45 uderzeń na minutę,</w:t>
            </w:r>
          </w:p>
          <w:p w:rsidR="00783659" w:rsidRPr="00D107EF" w:rsidRDefault="00783659" w:rsidP="00D107EF">
            <w:pPr>
              <w:spacing w:before="120" w:after="120"/>
              <w:ind w:left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wydłużenie odstępu QT &gt;500 milisekund,</w:t>
            </w:r>
          </w:p>
          <w:p w:rsidR="00783659" w:rsidRPr="00D107EF" w:rsidRDefault="00783659" w:rsidP="00D107EF">
            <w:pPr>
              <w:spacing w:before="120" w:after="120"/>
              <w:ind w:left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- utrzymujący się nowo rozpoznany blok serca II stopnia typu </w:t>
            </w:r>
            <w:proofErr w:type="spellStart"/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Mobitz</w:t>
            </w:r>
            <w:proofErr w:type="spellEnd"/>
            <w:r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 I lub blok przedsionkowo-komorowy wyższego stopnia.</w:t>
            </w:r>
          </w:p>
          <w:p w:rsidR="00783659" w:rsidRPr="00D107EF" w:rsidRDefault="00783659" w:rsidP="00D107EF">
            <w:pPr>
              <w:spacing w:before="120" w:after="12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U takich pacjentów konieczna jest konsultacja kardiologiczna (bądź internistyczna) celem oceny bezpieczeństwa dalszego leczenia </w:t>
            </w:r>
            <w:proofErr w:type="spellStart"/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fingolimodem</w:t>
            </w:r>
            <w:proofErr w:type="spellEnd"/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. W razie wątpliwości należy rozważyć zmianę terapii.</w:t>
            </w:r>
          </w:p>
          <w:p w:rsidR="00783659" w:rsidRPr="00D107EF" w:rsidRDefault="00783659" w:rsidP="00D107EF">
            <w:pPr>
              <w:spacing w:before="120" w:after="120"/>
              <w:ind w:left="26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</w:t>
            </w:r>
            <w:r w:rsidR="00CB413C" w:rsidRPr="00D107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leczenia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Badanie morfologii krwi oraz poziomu transaminaz wątrobowych w 1., 3., 6., 9. i 12.  miesiącu leczenia, a następnie nie rzadziej, niż co 6 miesięcy lub zależnie od wskazań klinicznych;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Rezonans magnetyczny z kontrastem – po każdych 12 miesiącach leczenia;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Konsultacja okulistyczna 3-4 miesiące po rozpoczęciu leczenia w celu wykluczenia obrzęku plamki, a następnie zależnie od opinii okulisty, jednak nie rzadziej niż raz w roku;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Konsultacja okulistyczna jest konieczna również w przypadku wystąpienia jakichkolwiek zaburzeń widzenia w trakcie leczenia </w:t>
            </w:r>
            <w:proofErr w:type="spellStart"/>
            <w:r w:rsidRPr="00D107EF">
              <w:rPr>
                <w:sz w:val="20"/>
                <w:szCs w:val="20"/>
              </w:rPr>
              <w:t>fingolimodem</w:t>
            </w:r>
            <w:proofErr w:type="spellEnd"/>
            <w:r w:rsidRPr="00D107EF">
              <w:rPr>
                <w:sz w:val="20"/>
                <w:szCs w:val="20"/>
              </w:rPr>
              <w:t>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Okresowa kontrola ciśnienia tętniczego krwi, nie rzadziej niż raz na 3 miesiące;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Konsultacja dermatologiczna po każdych 12 miesiącach leczenia.</w:t>
            </w:r>
          </w:p>
          <w:p w:rsidR="00783659" w:rsidRPr="00D107EF" w:rsidRDefault="004532F0" w:rsidP="00D107EF">
            <w:pPr>
              <w:pStyle w:val="Akapitzlist"/>
              <w:spacing w:before="120" w:after="120" w:line="276" w:lineRule="auto"/>
              <w:ind w:left="0"/>
              <w:rPr>
                <w:b/>
                <w:bCs/>
                <w:sz w:val="20"/>
                <w:szCs w:val="20"/>
              </w:rPr>
            </w:pPr>
            <w:r w:rsidRPr="00D107EF">
              <w:rPr>
                <w:b/>
                <w:bCs/>
                <w:sz w:val="20"/>
                <w:szCs w:val="20"/>
              </w:rPr>
              <w:t xml:space="preserve">4. </w:t>
            </w:r>
            <w:r w:rsidR="00783659" w:rsidRPr="00D107EF">
              <w:rPr>
                <w:b/>
                <w:bCs/>
                <w:sz w:val="20"/>
                <w:szCs w:val="20"/>
              </w:rPr>
              <w:t xml:space="preserve">Badania przy kwalifikacji do leczenia </w:t>
            </w:r>
            <w:proofErr w:type="spellStart"/>
            <w:r w:rsidR="00783659" w:rsidRPr="00D107EF">
              <w:rPr>
                <w:b/>
                <w:bCs/>
                <w:sz w:val="20"/>
                <w:szCs w:val="20"/>
              </w:rPr>
              <w:t>natalizumabem</w:t>
            </w:r>
            <w:proofErr w:type="spellEnd"/>
            <w:r w:rsidR="00783659" w:rsidRPr="00D107EF">
              <w:rPr>
                <w:b/>
                <w:bCs/>
                <w:sz w:val="20"/>
                <w:szCs w:val="20"/>
              </w:rPr>
              <w:t>:</w:t>
            </w:r>
          </w:p>
          <w:p w:rsidR="00783659" w:rsidRPr="00D107EF" w:rsidRDefault="00783659" w:rsidP="00D107EF">
            <w:pPr>
              <w:pStyle w:val="Akapitzlist"/>
              <w:spacing w:before="120" w:after="120" w:line="276" w:lineRule="auto"/>
              <w:ind w:left="0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4.1. Morfologia krwi z rozmazem; </w:t>
            </w:r>
          </w:p>
          <w:p w:rsidR="00783659" w:rsidRPr="00D107EF" w:rsidRDefault="00783659" w:rsidP="00D107EF">
            <w:pPr>
              <w:pStyle w:val="Akapitzlist"/>
              <w:spacing w:before="120" w:after="120" w:line="276" w:lineRule="auto"/>
              <w:ind w:left="0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lastRenderedPageBreak/>
              <w:t>4.2. Badania biochemiczne krwi, w tym oceniające funkcję nerek i wątroby;</w:t>
            </w:r>
          </w:p>
          <w:p w:rsidR="00783659" w:rsidRPr="00D107EF" w:rsidRDefault="00783659" w:rsidP="00D107EF">
            <w:pPr>
              <w:pStyle w:val="Akapitzlist"/>
              <w:spacing w:before="120" w:after="120" w:line="276" w:lineRule="auto"/>
              <w:ind w:left="0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4.3. Badanie ogólne moczu; </w:t>
            </w:r>
          </w:p>
          <w:p w:rsidR="00783659" w:rsidRPr="00D107EF" w:rsidRDefault="00783659" w:rsidP="00D107EF">
            <w:pPr>
              <w:pStyle w:val="Akapitzlist"/>
              <w:spacing w:before="120" w:after="120" w:line="276" w:lineRule="auto"/>
              <w:ind w:left="0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4.4. Test ciążowy w moczu;</w:t>
            </w:r>
          </w:p>
          <w:p w:rsidR="00783659" w:rsidRPr="00D107EF" w:rsidRDefault="00783659" w:rsidP="00D107EF">
            <w:pPr>
              <w:pStyle w:val="Akapitzlist"/>
              <w:spacing w:before="120" w:after="120" w:line="276" w:lineRule="auto"/>
              <w:ind w:left="0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4.5. </w:t>
            </w:r>
            <w:r w:rsidR="00AC00D6" w:rsidRPr="00D107EF">
              <w:rPr>
                <w:sz w:val="20"/>
                <w:szCs w:val="20"/>
              </w:rPr>
              <w:t xml:space="preserve">Rezonans magnetyczny </w:t>
            </w:r>
            <w:r w:rsidRPr="00D107EF">
              <w:rPr>
                <w:sz w:val="20"/>
                <w:szCs w:val="20"/>
              </w:rPr>
              <w:t xml:space="preserve">bez i po podaniu kontrastu w okresie nie dłuższym niż </w:t>
            </w:r>
            <w:r w:rsidR="001449D0" w:rsidRPr="00D107EF">
              <w:rPr>
                <w:sz w:val="20"/>
                <w:szCs w:val="20"/>
              </w:rPr>
              <w:t xml:space="preserve">60 </w:t>
            </w:r>
            <w:r w:rsidRPr="00D107EF">
              <w:rPr>
                <w:sz w:val="20"/>
                <w:szCs w:val="20"/>
              </w:rPr>
              <w:t>dni do podania leku, wg ustalonej metodologii (natężenie pola skanera ≥1,0 T, grubość przekroju ≤5 mm, bez przerw, sekwencje:</w:t>
            </w:r>
            <w:r w:rsidRPr="00D107EF">
              <w:rPr>
                <w:snapToGrid w:val="0"/>
                <w:sz w:val="20"/>
                <w:szCs w:val="20"/>
              </w:rPr>
              <w:t xml:space="preserve"> FLAIR, TSE PD/T2, SE T1);</w:t>
            </w:r>
          </w:p>
          <w:p w:rsidR="00783659" w:rsidRPr="00D107EF" w:rsidRDefault="00783659" w:rsidP="00D107EF">
            <w:pPr>
              <w:pStyle w:val="Akapitzlist"/>
              <w:spacing w:before="120" w:after="120" w:line="276" w:lineRule="auto"/>
              <w:ind w:left="0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4.6. Ocena stanu neurologicznego z określeniem EDSS;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1"/>
              </w:numPr>
              <w:spacing w:before="120" w:after="120" w:line="276" w:lineRule="auto"/>
              <w:ind w:left="0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4.7. Wykonanie testu na obecność przeciwciał anty-JCV w celu kwalifikacji do leczenia i stratyfikacji ryzyka PML.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1"/>
              </w:numPr>
              <w:spacing w:before="120" w:after="120" w:line="276" w:lineRule="auto"/>
              <w:ind w:left="0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Ponadto w ramach Planu Zarządzania Ryzykiem lekarze przepisujący produkt leczniczy zawierający </w:t>
            </w:r>
            <w:proofErr w:type="spellStart"/>
            <w:r w:rsidRPr="00D107EF">
              <w:rPr>
                <w:sz w:val="20"/>
                <w:szCs w:val="20"/>
              </w:rPr>
              <w:t>natalizumab</w:t>
            </w:r>
            <w:proofErr w:type="spellEnd"/>
            <w:r w:rsidRPr="00D107EF">
              <w:rPr>
                <w:sz w:val="20"/>
                <w:szCs w:val="20"/>
              </w:rPr>
              <w:t xml:space="preserve"> otrzymują pakiet dla lekarza zawierający: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8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Charakterystykę Produktu Leczniczego oraz Ulotkę dla Pacjenta,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8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Informację dla lekarza o produkcie leczniczym zawierającym </w:t>
            </w:r>
            <w:proofErr w:type="spellStart"/>
            <w:r w:rsidRPr="00D107EF">
              <w:rPr>
                <w:sz w:val="20"/>
                <w:szCs w:val="20"/>
              </w:rPr>
              <w:t>natalizumab</w:t>
            </w:r>
            <w:proofErr w:type="spellEnd"/>
            <w:r w:rsidRPr="00D107EF">
              <w:rPr>
                <w:sz w:val="20"/>
                <w:szCs w:val="20"/>
              </w:rPr>
              <w:t>,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8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Kartę Ostrzegawczą Pacjenta,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8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formularz wdrożenia i kontynuacji leczenia,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8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pacjenci włączenie do programu muszą otrzymać kartę ostrzegawczą pacjenta i kopię formularza rozpoczęcia terapii. Potwierdzenie otrzymania kopii formularza i karty ostrzegawczej pacjenta pozostaje w dokumentacji medycznej.</w:t>
            </w:r>
          </w:p>
          <w:p w:rsidR="00783659" w:rsidRPr="00D107EF" w:rsidRDefault="004532F0" w:rsidP="00D107EF">
            <w:pPr>
              <w:pStyle w:val="Akapitzlist"/>
              <w:spacing w:before="120" w:after="120" w:line="276" w:lineRule="auto"/>
              <w:ind w:left="0"/>
              <w:rPr>
                <w:b/>
                <w:bCs/>
                <w:sz w:val="20"/>
                <w:szCs w:val="20"/>
              </w:rPr>
            </w:pPr>
            <w:r w:rsidRPr="00D107EF">
              <w:rPr>
                <w:b/>
                <w:bCs/>
                <w:sz w:val="20"/>
                <w:szCs w:val="20"/>
              </w:rPr>
              <w:t xml:space="preserve">5. </w:t>
            </w:r>
            <w:r w:rsidR="00CB413C" w:rsidRPr="00D107EF">
              <w:rPr>
                <w:b/>
                <w:bCs/>
                <w:sz w:val="20"/>
                <w:szCs w:val="20"/>
              </w:rPr>
              <w:t>Monitorowanie leczenia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3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badanie podmiotowe i przedmiotowe, ze szczególnym uwzględnieniem stanu psychicznego i funkcji poznawczych, przed każdym podaniem leku oraz w sytuacji pojawienia się nowych objawów;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3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badania laboratoryjne, w tym: morfologia krwi z rozmazem, badania funkcji nerek, wątroby; 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3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badanie ogólne moczu co 3 miesiące w ciągu pierwszego roku, a następnie co 6 miesięcy lub w razie wskazań medycznych;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3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MRI bez i po podaniu kontrastu po każdych 12-tu miesiącach leczenia; </w:t>
            </w:r>
          </w:p>
          <w:p w:rsidR="00E97993" w:rsidRPr="00D107EF" w:rsidRDefault="00E97993" w:rsidP="00D107EF">
            <w:pPr>
              <w:autoSpaceDE w:val="0"/>
              <w:autoSpaceDN w:val="0"/>
              <w:adjustRightInd w:val="0"/>
              <w:spacing w:before="120" w:after="120"/>
              <w:ind w:left="282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eastAsiaTheme="minorHAnsi" w:hAnsi="Times New Roman" w:cs="Times New Roman"/>
                <w:sz w:val="20"/>
                <w:szCs w:val="20"/>
              </w:rPr>
              <w:t>W przypadku pacjentów z wyższym ryzykiem wystąpienia PML należy rozważyć częstsze badania MRI (np. co 3-6 miesięcy), z zastosowaniem skróconej sekwencji. Do</w:t>
            </w:r>
            <w:r w:rsidR="00CB413C" w:rsidRPr="00D107EF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D107EF">
              <w:rPr>
                <w:rFonts w:ascii="Times New Roman" w:eastAsiaTheme="minorHAnsi" w:hAnsi="Times New Roman" w:cs="Times New Roman"/>
                <w:sz w:val="20"/>
                <w:szCs w:val="20"/>
              </w:rPr>
              <w:t>takich pacjentów należą:</w:t>
            </w:r>
          </w:p>
          <w:p w:rsidR="00E97993" w:rsidRPr="00D107EF" w:rsidRDefault="002B73C4" w:rsidP="00D107EF">
            <w:pPr>
              <w:autoSpaceDE w:val="0"/>
              <w:autoSpaceDN w:val="0"/>
              <w:adjustRightInd w:val="0"/>
              <w:spacing w:before="120" w:after="120"/>
              <w:ind w:left="282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eastAsiaTheme="minorHAnsi" w:hAnsi="Times New Roman" w:cs="Times New Roman"/>
                <w:sz w:val="20"/>
                <w:szCs w:val="20"/>
              </w:rPr>
              <w:t>-</w:t>
            </w:r>
            <w:r w:rsidR="00E97993" w:rsidRPr="00D107EF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pacjenci z wszystkimi trzema czynnikami ryzyka PML (tj. z obecnością przeciwciał anty-JCV </w:t>
            </w:r>
            <w:r w:rsidR="00E97993" w:rsidRPr="00D107EF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 xml:space="preserve">oraz </w:t>
            </w:r>
            <w:r w:rsidR="00E97993" w:rsidRPr="00D107EF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stosujący leczenie produktem TYSABRI od ponad 2 lat </w:t>
            </w:r>
            <w:r w:rsidR="00E97993" w:rsidRPr="00D107EF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oraz</w:t>
            </w:r>
            <w:r w:rsidR="00CB413C" w:rsidRPr="00D107EF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="00E97993" w:rsidRPr="00D107EF">
              <w:rPr>
                <w:rFonts w:ascii="Times New Roman" w:eastAsiaTheme="minorHAnsi" w:hAnsi="Times New Roman" w:cs="Times New Roman"/>
                <w:sz w:val="20"/>
                <w:szCs w:val="20"/>
              </w:rPr>
              <w:t>wcześniej stosujący leki immunosupresyjne),</w:t>
            </w:r>
          </w:p>
          <w:p w:rsidR="00E97993" w:rsidRPr="00D107EF" w:rsidRDefault="00E97993" w:rsidP="00D107EF">
            <w:pPr>
              <w:autoSpaceDE w:val="0"/>
              <w:autoSpaceDN w:val="0"/>
              <w:adjustRightInd w:val="0"/>
              <w:spacing w:before="120" w:after="120"/>
              <w:ind w:left="282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eastAsiaTheme="minorHAnsi" w:hAnsi="Times New Roman" w:cs="Times New Roman"/>
                <w:sz w:val="20"/>
                <w:szCs w:val="20"/>
              </w:rPr>
              <w:t>lub</w:t>
            </w:r>
          </w:p>
          <w:p w:rsidR="00E97993" w:rsidRPr="00D107EF" w:rsidRDefault="002B73C4" w:rsidP="00D107EF">
            <w:pPr>
              <w:autoSpaceDE w:val="0"/>
              <w:autoSpaceDN w:val="0"/>
              <w:adjustRightInd w:val="0"/>
              <w:spacing w:before="120" w:after="120"/>
              <w:ind w:left="282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eastAsiaTheme="minorHAnsi" w:hAnsi="Times New Roman" w:cs="Times New Roman"/>
                <w:sz w:val="20"/>
                <w:szCs w:val="20"/>
              </w:rPr>
              <w:t>-</w:t>
            </w:r>
            <w:r w:rsidR="00E97993" w:rsidRPr="00D107EF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pacjenci z wysokim wskaźnikiem przeciwciał anty-JCV, leczeni produktem TYSABRI od ponad 2 lat i którzy wcześniej nie otrzymywali leków immunosupresyjnych.</w:t>
            </w:r>
          </w:p>
          <w:p w:rsidR="00E97993" w:rsidRPr="00D107EF" w:rsidRDefault="00E97993" w:rsidP="00D107EF">
            <w:pPr>
              <w:autoSpaceDE w:val="0"/>
              <w:autoSpaceDN w:val="0"/>
              <w:adjustRightInd w:val="0"/>
              <w:spacing w:before="120" w:after="120"/>
              <w:ind w:left="282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eastAsiaTheme="minorHAnsi" w:hAnsi="Times New Roman" w:cs="Times New Roman"/>
                <w:sz w:val="20"/>
                <w:szCs w:val="20"/>
              </w:rPr>
              <w:t>Z dostępnych danych wynika, że ryzyko rozwoju PML jest niskie przy wskaźniku ≤0,9 i znacząco wzrasta dla wartości powyżej 1,5 u pacjentów leczonych produktem TYSABRI przez dłużej niż 2 lata</w:t>
            </w:r>
          </w:p>
          <w:p w:rsidR="00783659" w:rsidRPr="00D107EF" w:rsidRDefault="001622D0" w:rsidP="003872CD">
            <w:pPr>
              <w:pStyle w:val="Akapitzlist"/>
              <w:numPr>
                <w:ilvl w:val="0"/>
                <w:numId w:val="3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W</w:t>
            </w:r>
            <w:r w:rsidR="00783659" w:rsidRPr="00D107EF">
              <w:rPr>
                <w:sz w:val="20"/>
                <w:szCs w:val="20"/>
              </w:rPr>
              <w:t xml:space="preserve"> przypadku podejrzenia PML</w:t>
            </w:r>
            <w:r w:rsidR="00C64855" w:rsidRPr="00D107EF">
              <w:rPr>
                <w:sz w:val="20"/>
                <w:szCs w:val="20"/>
              </w:rPr>
              <w:t xml:space="preserve"> lub JCV GCN</w:t>
            </w:r>
            <w:r w:rsidR="00783659" w:rsidRPr="00D107EF">
              <w:rPr>
                <w:sz w:val="20"/>
                <w:szCs w:val="20"/>
              </w:rPr>
              <w:t xml:space="preserve"> badanie płynu mózgowo-rdzeniowego na obecność wirusa JC, badanie rezonansu magnetycznego bez i po podaniu kontrastu;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3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Powtarzanie testu</w:t>
            </w:r>
            <w:r w:rsidR="004762BF" w:rsidRPr="00D107EF">
              <w:rPr>
                <w:sz w:val="20"/>
                <w:szCs w:val="20"/>
              </w:rPr>
              <w:t xml:space="preserve"> na obecność przeciwciał anty-JCV z określeniem miana poziomu </w:t>
            </w:r>
            <w:r w:rsidR="00D30232" w:rsidRPr="00D107EF">
              <w:rPr>
                <w:sz w:val="20"/>
                <w:szCs w:val="20"/>
              </w:rPr>
              <w:t>przeciwciał,</w:t>
            </w:r>
            <w:r w:rsidRPr="00D107EF">
              <w:rPr>
                <w:sz w:val="20"/>
                <w:szCs w:val="20"/>
              </w:rPr>
              <w:t xml:space="preserve"> u pacjenta z ujemnym mianem przeciwciał anty- JCV co 6 miesięcy.</w:t>
            </w:r>
          </w:p>
          <w:p w:rsidR="00B463D6" w:rsidRPr="00D107EF" w:rsidRDefault="00CD3C6D" w:rsidP="003872CD">
            <w:pPr>
              <w:pStyle w:val="Akapitzlist"/>
              <w:numPr>
                <w:ilvl w:val="0"/>
                <w:numId w:val="3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U pacjentów zgłaszających objawy takie jak: zmniejszona ostrość widzenia, zaczerwienienie i ból oka należy skierować na badanie siatkówki </w:t>
            </w:r>
            <w:r w:rsidR="00855192" w:rsidRPr="00D107EF">
              <w:rPr>
                <w:sz w:val="20"/>
                <w:szCs w:val="20"/>
              </w:rPr>
              <w:t xml:space="preserve">w kierunku </w:t>
            </w:r>
            <w:r w:rsidRPr="00D107EF">
              <w:rPr>
                <w:sz w:val="20"/>
                <w:szCs w:val="20"/>
              </w:rPr>
              <w:t xml:space="preserve">ARN. W przypadku klinicznego potwierdzenia ARN należy </w:t>
            </w:r>
            <w:proofErr w:type="spellStart"/>
            <w:r w:rsidRPr="00D107EF">
              <w:rPr>
                <w:sz w:val="20"/>
                <w:szCs w:val="20"/>
              </w:rPr>
              <w:t>rozważyc</w:t>
            </w:r>
            <w:proofErr w:type="spellEnd"/>
            <w:r w:rsidRPr="00D107EF">
              <w:rPr>
                <w:sz w:val="20"/>
                <w:szCs w:val="20"/>
              </w:rPr>
              <w:t xml:space="preserve"> zakończenie leczenia </w:t>
            </w:r>
            <w:proofErr w:type="spellStart"/>
            <w:r w:rsidRPr="00D107EF">
              <w:rPr>
                <w:sz w:val="20"/>
                <w:szCs w:val="20"/>
              </w:rPr>
              <w:t>natalizumabem</w:t>
            </w:r>
            <w:proofErr w:type="spellEnd"/>
          </w:p>
          <w:p w:rsidR="00783659" w:rsidRPr="00D107EF" w:rsidRDefault="004532F0" w:rsidP="00D107EF">
            <w:pPr>
              <w:pStyle w:val="Akapitzlist"/>
              <w:spacing w:before="120" w:after="120" w:line="276" w:lineRule="auto"/>
              <w:ind w:left="0"/>
              <w:rPr>
                <w:b/>
                <w:bCs/>
                <w:sz w:val="20"/>
                <w:szCs w:val="20"/>
              </w:rPr>
            </w:pPr>
            <w:r w:rsidRPr="00D107EF">
              <w:rPr>
                <w:b/>
                <w:bCs/>
                <w:sz w:val="20"/>
                <w:szCs w:val="20"/>
              </w:rPr>
              <w:t xml:space="preserve">6. </w:t>
            </w:r>
            <w:r w:rsidR="00CB413C" w:rsidRPr="00D107EF">
              <w:rPr>
                <w:b/>
                <w:bCs/>
                <w:sz w:val="20"/>
                <w:szCs w:val="20"/>
              </w:rPr>
              <w:t>Specjalne środki ostrożności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2"/>
              </w:numPr>
              <w:spacing w:before="120" w:after="120" w:line="276" w:lineRule="auto"/>
              <w:ind w:left="360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Stosowanie </w:t>
            </w:r>
            <w:proofErr w:type="spellStart"/>
            <w:r w:rsidR="00B410F4" w:rsidRPr="00D107EF">
              <w:rPr>
                <w:sz w:val="20"/>
                <w:szCs w:val="20"/>
              </w:rPr>
              <w:t>natalizumabu</w:t>
            </w:r>
            <w:proofErr w:type="spellEnd"/>
            <w:r w:rsidRPr="00D107EF">
              <w:rPr>
                <w:sz w:val="20"/>
                <w:szCs w:val="20"/>
              </w:rPr>
              <w:t xml:space="preserve"> wiąże się ze zwiększonym ryzykiem wystąpienia PML</w:t>
            </w:r>
            <w:r w:rsidR="001622D0" w:rsidRPr="00D107EF">
              <w:rPr>
                <w:sz w:val="20"/>
                <w:szCs w:val="20"/>
              </w:rPr>
              <w:t xml:space="preserve"> lub JCV GCN </w:t>
            </w:r>
            <w:r w:rsidRPr="00D107EF">
              <w:rPr>
                <w:sz w:val="20"/>
                <w:szCs w:val="20"/>
              </w:rPr>
              <w:t xml:space="preserve"> – oportunistycznego zakażenia wywoływanego przez wirusa JC. </w:t>
            </w:r>
          </w:p>
          <w:p w:rsidR="00783659" w:rsidRPr="00D107EF" w:rsidRDefault="002B73C4" w:rsidP="00D107EF">
            <w:pPr>
              <w:pStyle w:val="Akapitzlist"/>
              <w:spacing w:before="120" w:after="120" w:line="276" w:lineRule="auto"/>
              <w:ind w:left="360" w:hanging="360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       </w:t>
            </w:r>
            <w:r w:rsidR="00783659" w:rsidRPr="00D107EF">
              <w:rPr>
                <w:sz w:val="20"/>
                <w:szCs w:val="20"/>
              </w:rPr>
              <w:t>Lekarz powinien być szczególnie wyczulony na objawy sugerujące PML</w:t>
            </w:r>
            <w:r w:rsidR="001622D0" w:rsidRPr="00D107EF">
              <w:rPr>
                <w:sz w:val="20"/>
                <w:szCs w:val="20"/>
              </w:rPr>
              <w:t xml:space="preserve"> lub JCV GCN</w:t>
            </w:r>
            <w:r w:rsidR="00783659" w:rsidRPr="00D107EF">
              <w:rPr>
                <w:sz w:val="20"/>
                <w:szCs w:val="20"/>
              </w:rPr>
              <w:t>, których pacjent może nie dostrzegać (np. objawy zaburzenia funkcji poznawczych lub psychiczne</w:t>
            </w:r>
            <w:r w:rsidR="001622D0" w:rsidRPr="00D107EF">
              <w:rPr>
                <w:sz w:val="20"/>
                <w:szCs w:val="20"/>
              </w:rPr>
              <w:t xml:space="preserve"> lub zespół móżdżkowy</w:t>
            </w:r>
            <w:r w:rsidR="00783659" w:rsidRPr="00D107EF">
              <w:rPr>
                <w:sz w:val="20"/>
                <w:szCs w:val="20"/>
              </w:rPr>
              <w:t xml:space="preserve">). </w:t>
            </w:r>
          </w:p>
          <w:p w:rsidR="001622D0" w:rsidRPr="00D107EF" w:rsidRDefault="00D17105" w:rsidP="00D107EF">
            <w:pPr>
              <w:pStyle w:val="Akapitzlist"/>
              <w:spacing w:before="120" w:after="120" w:line="276" w:lineRule="auto"/>
              <w:ind w:left="282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Pacjenci z wyższym ryzykiem wystąpienia PML</w:t>
            </w:r>
            <w:r w:rsidR="00F0447E" w:rsidRPr="00D107EF">
              <w:rPr>
                <w:sz w:val="20"/>
                <w:szCs w:val="20"/>
              </w:rPr>
              <w:t xml:space="preserve"> </w:t>
            </w:r>
            <w:r w:rsidRPr="00D107EF">
              <w:rPr>
                <w:sz w:val="20"/>
                <w:szCs w:val="20"/>
              </w:rPr>
              <w:t>to:</w:t>
            </w:r>
          </w:p>
          <w:p w:rsidR="00917BA6" w:rsidRPr="00D107EF" w:rsidRDefault="00917BA6" w:rsidP="00D107EF">
            <w:pPr>
              <w:autoSpaceDE w:val="0"/>
              <w:autoSpaceDN w:val="0"/>
              <w:adjustRightInd w:val="0"/>
              <w:spacing w:before="120" w:after="120"/>
              <w:ind w:left="282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107EF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pacjenci z wszystkimi trzema czynnikami ryzyka PML (tj. z obecnością przeciwciał anty-JCV </w:t>
            </w:r>
            <w:r w:rsidRPr="00D107EF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 xml:space="preserve">oraz </w:t>
            </w:r>
            <w:r w:rsidRPr="00D107EF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stosujący leczenie produktem TYSABRI od ponad 2 lat </w:t>
            </w:r>
            <w:r w:rsidRPr="00D107EF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oraz</w:t>
            </w:r>
            <w:r w:rsidR="002B73C4" w:rsidRPr="00D107EF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 xml:space="preserve"> </w:t>
            </w:r>
            <w:r w:rsidRPr="00D107EF">
              <w:rPr>
                <w:rFonts w:ascii="Times New Roman" w:eastAsiaTheme="minorHAnsi" w:hAnsi="Times New Roman" w:cs="Times New Roman"/>
                <w:sz w:val="20"/>
                <w:szCs w:val="20"/>
              </w:rPr>
              <w:t>wcześniej stosujący leki immunosupresyjne);</w:t>
            </w:r>
          </w:p>
          <w:p w:rsidR="00917BA6" w:rsidRPr="00D107EF" w:rsidRDefault="00917BA6" w:rsidP="00D107EF">
            <w:pPr>
              <w:autoSpaceDE w:val="0"/>
              <w:autoSpaceDN w:val="0"/>
              <w:adjustRightInd w:val="0"/>
              <w:spacing w:before="120" w:after="120"/>
              <w:ind w:left="282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eastAsiaTheme="minorHAnsi" w:hAnsi="Times New Roman" w:cs="Times New Roman"/>
                <w:sz w:val="20"/>
                <w:szCs w:val="20"/>
              </w:rPr>
              <w:t>-pacjenci z wysokim wskaźnikiem przeciwciał anty-JCV, leczeni produktem TYSABRI od ponad 2 lat i którzy wcześniej nie otrzymywali leków immunosupresyjnych.</w:t>
            </w:r>
          </w:p>
          <w:p w:rsidR="00E30662" w:rsidRPr="00D107EF" w:rsidRDefault="002B5CAE" w:rsidP="003872CD">
            <w:pPr>
              <w:pStyle w:val="Default"/>
              <w:numPr>
                <w:ilvl w:val="0"/>
                <w:numId w:val="2"/>
              </w:numPr>
              <w:spacing w:before="120" w:after="120" w:line="276" w:lineRule="auto"/>
              <w:ind w:left="36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Pacjentom, ich partnerom/partnerkom oraz opiekunom należy również przekazać informacje na temat wczesnych podmiotowych objawów PML a także uprzedzić ich, że objawy mogą wystąpić podczas leczenia produktem TYSABRI, a także w okresie około 6 miesięcy po zastosowaniu ostatniej dawki produktu TYSABRI </w:t>
            </w:r>
          </w:p>
          <w:p w:rsidR="00DE3121" w:rsidRPr="00D107EF" w:rsidRDefault="00783659" w:rsidP="003872CD">
            <w:pPr>
              <w:pStyle w:val="Akapitzlist"/>
              <w:numPr>
                <w:ilvl w:val="0"/>
                <w:numId w:val="2"/>
              </w:numPr>
              <w:spacing w:before="120" w:after="120" w:line="276" w:lineRule="auto"/>
              <w:ind w:left="360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Jeśli u pacjenta rozwinie się PML</w:t>
            </w:r>
            <w:r w:rsidR="00DE3121" w:rsidRPr="00D107EF">
              <w:rPr>
                <w:sz w:val="20"/>
                <w:szCs w:val="20"/>
              </w:rPr>
              <w:t xml:space="preserve"> lub JCV GCN</w:t>
            </w:r>
            <w:r w:rsidRPr="00D107EF">
              <w:rPr>
                <w:sz w:val="20"/>
                <w:szCs w:val="20"/>
              </w:rPr>
              <w:t xml:space="preserve">, podawanie </w:t>
            </w:r>
            <w:proofErr w:type="spellStart"/>
            <w:r w:rsidR="00B410F4" w:rsidRPr="00D107EF">
              <w:rPr>
                <w:sz w:val="20"/>
                <w:szCs w:val="20"/>
              </w:rPr>
              <w:t>natalizumabu</w:t>
            </w:r>
            <w:proofErr w:type="spellEnd"/>
            <w:r w:rsidRPr="00D107EF">
              <w:rPr>
                <w:sz w:val="20"/>
                <w:szCs w:val="20"/>
              </w:rPr>
              <w:t xml:space="preserve"> trzeba przerwać na stałe</w:t>
            </w:r>
            <w:r w:rsidR="00DA16D1" w:rsidRPr="00D107EF">
              <w:rPr>
                <w:sz w:val="20"/>
                <w:szCs w:val="20"/>
              </w:rPr>
              <w:t xml:space="preserve"> </w:t>
            </w:r>
          </w:p>
          <w:p w:rsidR="00783659" w:rsidRPr="00D107EF" w:rsidRDefault="002B73C4" w:rsidP="00D107EF">
            <w:pPr>
              <w:autoSpaceDE w:val="0"/>
              <w:autoSpaceDN w:val="0"/>
              <w:adjustRightInd w:val="0"/>
              <w:spacing w:before="120" w:after="120"/>
              <w:ind w:left="360" w:hanging="36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783659"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W celu oszacowania ryzyka przed lub w trakcie leczenia </w:t>
            </w:r>
            <w:proofErr w:type="spellStart"/>
            <w:r w:rsidR="00B410F4" w:rsidRPr="00D107EF">
              <w:rPr>
                <w:rFonts w:ascii="Times New Roman" w:hAnsi="Times New Roman" w:cs="Times New Roman"/>
                <w:sz w:val="20"/>
                <w:szCs w:val="20"/>
              </w:rPr>
              <w:t>natalizumabem</w:t>
            </w:r>
            <w:proofErr w:type="spellEnd"/>
            <w:r w:rsidR="00783659" w:rsidRPr="00D107EF">
              <w:rPr>
                <w:rFonts w:ascii="Times New Roman" w:hAnsi="Times New Roman" w:cs="Times New Roman"/>
                <w:sz w:val="20"/>
                <w:szCs w:val="20"/>
              </w:rPr>
              <w:t>, badanie na obecność przeciwciał anty-JCV może dostarczyć wspierających informacji</w:t>
            </w:r>
            <w:r w:rsidR="00DE3121" w:rsidRPr="00D107EF">
              <w:rPr>
                <w:rFonts w:ascii="Times New Roman" w:hAnsi="Times New Roman" w:cs="Times New Roman"/>
                <w:sz w:val="20"/>
                <w:szCs w:val="20"/>
              </w:rPr>
              <w:t>, niemniej jednak, u pacjentów z ujemnym mianem przeciwciał anty-JCV może nadal występować ryzyko PML z powodów takich jak nowa infekcja JCV, wahania poziomu</w:t>
            </w:r>
            <w:r w:rsidR="002B5CAE"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5CAE" w:rsidRPr="00D107EF">
              <w:rPr>
                <w:rFonts w:ascii="Times New Roman" w:eastAsiaTheme="minorHAnsi" w:hAnsi="Times New Roman" w:cs="Times New Roman"/>
                <w:sz w:val="20"/>
                <w:szCs w:val="20"/>
              </w:rPr>
              <w:t>przeciwciał lub fałszywie ujemny wynik badania</w:t>
            </w:r>
          </w:p>
          <w:p w:rsidR="00D17105" w:rsidRPr="00D107EF" w:rsidRDefault="002B73C4" w:rsidP="00D107EF">
            <w:pPr>
              <w:spacing w:before="120" w:after="120"/>
              <w:ind w:left="360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783659"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Przed rozpoczęciem leczenia </w:t>
            </w:r>
            <w:proofErr w:type="spellStart"/>
            <w:r w:rsidR="00B410F4" w:rsidRPr="00D107EF">
              <w:rPr>
                <w:rFonts w:ascii="Times New Roman" w:hAnsi="Times New Roman" w:cs="Times New Roman"/>
                <w:sz w:val="20"/>
                <w:szCs w:val="20"/>
              </w:rPr>
              <w:t>natalizumabem</w:t>
            </w:r>
            <w:proofErr w:type="spellEnd"/>
            <w:r w:rsidR="00783659" w:rsidRPr="00D107EF">
              <w:rPr>
                <w:rFonts w:ascii="Times New Roman" w:hAnsi="Times New Roman" w:cs="Times New Roman"/>
                <w:sz w:val="20"/>
                <w:szCs w:val="20"/>
              </w:rPr>
              <w:t xml:space="preserve"> wymagane jest niedawne  badanie MRI, jako obraz odniesienia, a następnie powtarzanie tego badania co roku w celu aktualizacji obrazu odniesienia. Należy regularnie monitorować pacjentów </w:t>
            </w:r>
            <w:r w:rsidR="00D17105" w:rsidRPr="00D107EF">
              <w:rPr>
                <w:rFonts w:ascii="Times New Roman" w:hAnsi="Times New Roman" w:cs="Times New Roman"/>
                <w:sz w:val="20"/>
                <w:szCs w:val="20"/>
              </w:rPr>
              <w:t>Należy szczególnie monitorować pacjentów z grup podwyższonego ryzyka wystąpienia PML</w:t>
            </w:r>
            <w:r w:rsidR="00F05657" w:rsidRPr="00D107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2"/>
              </w:numPr>
              <w:spacing w:before="120" w:after="120" w:line="276" w:lineRule="auto"/>
              <w:ind w:left="360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Po 2 latach należy ponownie poinformować pacjenta o zagrożeniach związanych z leczeniem </w:t>
            </w:r>
            <w:proofErr w:type="spellStart"/>
            <w:r w:rsidR="00B410F4" w:rsidRPr="00D107EF">
              <w:rPr>
                <w:sz w:val="20"/>
                <w:szCs w:val="20"/>
              </w:rPr>
              <w:t>natalizumabem</w:t>
            </w:r>
            <w:proofErr w:type="spellEnd"/>
            <w:r w:rsidRPr="00D107EF">
              <w:rPr>
                <w:sz w:val="20"/>
                <w:szCs w:val="20"/>
              </w:rPr>
              <w:t>. Pacjenci włączeni do programu muszą otrzymać kartę ostrzegawczą pacjenta i kopię formularza kontynuacji leczenia. Potwierdzenie otrzymania kopii formularza i karty ostrzegawczej pacjenta pozostaje w dokumentacji medycznej.</w:t>
            </w:r>
          </w:p>
          <w:p w:rsidR="00783659" w:rsidRPr="00D107EF" w:rsidRDefault="002B73C4" w:rsidP="00D107EF">
            <w:pPr>
              <w:pStyle w:val="Akapitzlist"/>
              <w:spacing w:before="120" w:after="120" w:line="276" w:lineRule="auto"/>
              <w:ind w:left="360" w:hanging="360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       </w:t>
            </w:r>
            <w:r w:rsidR="00783659" w:rsidRPr="00D107EF">
              <w:rPr>
                <w:sz w:val="20"/>
                <w:szCs w:val="20"/>
              </w:rPr>
              <w:t>W przypadku podejrzenia PML</w:t>
            </w:r>
            <w:r w:rsidR="00DE3121" w:rsidRPr="00D107EF">
              <w:rPr>
                <w:sz w:val="20"/>
                <w:szCs w:val="20"/>
              </w:rPr>
              <w:t xml:space="preserve"> lub JCV GCN</w:t>
            </w:r>
            <w:r w:rsidR="00783659" w:rsidRPr="00D107EF">
              <w:rPr>
                <w:sz w:val="20"/>
                <w:szCs w:val="20"/>
              </w:rPr>
              <w:t xml:space="preserve"> należy wstrzymać dalsze podawanie leku do czasu wykluczenia PML</w:t>
            </w:r>
            <w:r w:rsidR="00DE3121" w:rsidRPr="00D107EF">
              <w:rPr>
                <w:sz w:val="20"/>
                <w:szCs w:val="20"/>
              </w:rPr>
              <w:t xml:space="preserve"> lub JCV GCN</w:t>
            </w:r>
            <w:r w:rsidR="00783659" w:rsidRPr="00D107EF">
              <w:rPr>
                <w:sz w:val="20"/>
                <w:szCs w:val="20"/>
              </w:rPr>
              <w:t>. Lekarz powinien ocenić pacjenta i określić, czy objawy wskazują na dysfunkcję neurologiczną. W potwierdzonych przypadkach lekarz powinien stwierdzić, czy objawy są typowe dla stwardnienia rozsianego, czy wskazują na możliwe rozpoznanie PML</w:t>
            </w:r>
            <w:r w:rsidR="00DE3121" w:rsidRPr="00D107EF">
              <w:rPr>
                <w:sz w:val="20"/>
                <w:szCs w:val="20"/>
              </w:rPr>
              <w:t xml:space="preserve"> lub JCV GCN</w:t>
            </w:r>
            <w:r w:rsidR="00783659" w:rsidRPr="00D107EF">
              <w:rPr>
                <w:sz w:val="20"/>
                <w:szCs w:val="20"/>
              </w:rPr>
              <w:t>. W razie wątpliwości należy rozważyć dalszą diagnostykę, w tym badanie MRI, najlepiej z podaniem kontrastu (dla porównania z wynikiem MRI sprzed leczenia), badanie płynu mózgowo-rdzeniowego w kierunku DNA wirusa JC oraz powtórne badanie neurologiczne.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2"/>
              </w:numPr>
              <w:spacing w:before="120" w:after="120" w:line="276" w:lineRule="auto"/>
              <w:ind w:left="360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Po wykluczeniu przez lekarza PML</w:t>
            </w:r>
            <w:r w:rsidR="00DE3121" w:rsidRPr="00D107EF">
              <w:rPr>
                <w:sz w:val="20"/>
                <w:szCs w:val="20"/>
              </w:rPr>
              <w:t xml:space="preserve"> lub JCV GCN</w:t>
            </w:r>
            <w:r w:rsidRPr="00D107EF">
              <w:rPr>
                <w:sz w:val="20"/>
                <w:szCs w:val="20"/>
              </w:rPr>
              <w:t xml:space="preserve"> (jeśli to konieczne, przez powtórzenie badań klinicznych, obrazowych i laboratoryjnych, gdy nadal istnieje podejrzenie kliniczne) można wznowić leczenie </w:t>
            </w:r>
            <w:proofErr w:type="spellStart"/>
            <w:r w:rsidRPr="00D107EF">
              <w:rPr>
                <w:sz w:val="20"/>
                <w:szCs w:val="20"/>
              </w:rPr>
              <w:t>natalizumabem</w:t>
            </w:r>
            <w:proofErr w:type="spellEnd"/>
            <w:r w:rsidRPr="00D107EF">
              <w:rPr>
                <w:sz w:val="20"/>
                <w:szCs w:val="20"/>
              </w:rPr>
              <w:t>.</w:t>
            </w:r>
          </w:p>
          <w:p w:rsidR="00D854F9" w:rsidRPr="00D107EF" w:rsidRDefault="00D854F9" w:rsidP="00D107EF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107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7. Badania przy kwalifi</w:t>
            </w:r>
            <w:r w:rsidR="00CB413C" w:rsidRPr="00D107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kacji do leczenia </w:t>
            </w:r>
            <w:proofErr w:type="spellStart"/>
            <w:r w:rsidR="00CB413C" w:rsidRPr="00D107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okrelizumabem</w:t>
            </w:r>
            <w:proofErr w:type="spellEnd"/>
          </w:p>
          <w:p w:rsidR="00D854F9" w:rsidRPr="00D107EF" w:rsidRDefault="00D854F9" w:rsidP="003872CD">
            <w:pPr>
              <w:pStyle w:val="Akapitzlist"/>
              <w:numPr>
                <w:ilvl w:val="0"/>
                <w:numId w:val="34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Badania biochemiczne w tym oceniające:</w:t>
            </w:r>
          </w:p>
          <w:p w:rsidR="00D854F9" w:rsidRPr="00D107EF" w:rsidRDefault="00D854F9" w:rsidP="003872CD">
            <w:pPr>
              <w:pStyle w:val="Akapitzlist"/>
              <w:numPr>
                <w:ilvl w:val="1"/>
                <w:numId w:val="34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funkcje nerek, </w:t>
            </w:r>
          </w:p>
          <w:p w:rsidR="00D854F9" w:rsidRPr="00D107EF" w:rsidRDefault="00D854F9" w:rsidP="003872CD">
            <w:pPr>
              <w:pStyle w:val="Akapitzlist"/>
              <w:numPr>
                <w:ilvl w:val="1"/>
                <w:numId w:val="34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funkcje wątroby, </w:t>
            </w:r>
          </w:p>
          <w:p w:rsidR="00D854F9" w:rsidRPr="00D107EF" w:rsidRDefault="00D854F9" w:rsidP="003872CD">
            <w:pPr>
              <w:pStyle w:val="Akapitzlist"/>
              <w:numPr>
                <w:ilvl w:val="0"/>
                <w:numId w:val="34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badanie ogólne moczu; </w:t>
            </w:r>
          </w:p>
          <w:p w:rsidR="00D854F9" w:rsidRPr="00D107EF" w:rsidRDefault="00D854F9" w:rsidP="003872CD">
            <w:pPr>
              <w:pStyle w:val="Akapitzlist"/>
              <w:numPr>
                <w:ilvl w:val="0"/>
                <w:numId w:val="34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morfologia krwi z rozmazem (dodatkowo stężenie immunoglobulin G i M w surowicy, jeśli zasadne); </w:t>
            </w:r>
          </w:p>
          <w:p w:rsidR="00D854F9" w:rsidRPr="00D107EF" w:rsidRDefault="00D854F9" w:rsidP="003872CD">
            <w:pPr>
              <w:pStyle w:val="Akapitzlist"/>
              <w:numPr>
                <w:ilvl w:val="0"/>
                <w:numId w:val="34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rezonans magnetyczny przed i po podaniu  kontrastu; rezonans magnetyczny wykonuje się w okresie kwalifikacji do programu. Jeżeli leczenie nie zostanie rozpoczęte w okresie 60 dni od jego wykonania to badanie powtarza się tuż przed zastosowaniem pierwszej dawki leku – w postaci rzutowo-</w:t>
            </w:r>
            <w:proofErr w:type="spellStart"/>
            <w:r w:rsidRPr="00D107EF">
              <w:rPr>
                <w:sz w:val="20"/>
                <w:szCs w:val="20"/>
              </w:rPr>
              <w:t>remisyjnej</w:t>
            </w:r>
            <w:proofErr w:type="spellEnd"/>
            <w:r w:rsidRPr="00D107EF">
              <w:rPr>
                <w:sz w:val="20"/>
                <w:szCs w:val="20"/>
              </w:rPr>
              <w:t>;</w:t>
            </w:r>
          </w:p>
          <w:p w:rsidR="00D854F9" w:rsidRPr="00D107EF" w:rsidRDefault="00D854F9" w:rsidP="003872CD">
            <w:pPr>
              <w:pStyle w:val="Akapitzlist"/>
              <w:numPr>
                <w:ilvl w:val="0"/>
                <w:numId w:val="34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rezonans magnetyczny głowy i maksymalnie  2 odcinków rdzenia kręgowego przed i po podaniu  kontrastu; rezonans magnetyczny wykonuje się w okresie kwalifikacji do programu. Jeżeli leczenie nie zostanie rozpoczęte w okresie 12 miesięcy od jego wykonania to badanie powtarza się tuż przed zastosowaniem pierwszej dawki leku – w postaci pierwotnie postępującej;</w:t>
            </w:r>
          </w:p>
          <w:p w:rsidR="00D854F9" w:rsidRPr="00D107EF" w:rsidRDefault="00D854F9" w:rsidP="003872CD">
            <w:pPr>
              <w:pStyle w:val="Akapitzlist"/>
              <w:numPr>
                <w:ilvl w:val="0"/>
                <w:numId w:val="34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test ciążowy u pacjentek w wieku rozrodczym;</w:t>
            </w:r>
          </w:p>
          <w:p w:rsidR="00D854F9" w:rsidRPr="00D107EF" w:rsidRDefault="00D854F9" w:rsidP="003872CD">
            <w:pPr>
              <w:pStyle w:val="Akapitzlist"/>
              <w:numPr>
                <w:ilvl w:val="0"/>
                <w:numId w:val="34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ocena stanu  neurologicznego z określeniem EDSS;</w:t>
            </w:r>
          </w:p>
          <w:p w:rsidR="00D854F9" w:rsidRPr="00D107EF" w:rsidRDefault="00D854F9" w:rsidP="003872CD">
            <w:pPr>
              <w:pStyle w:val="Akapitzlist"/>
              <w:numPr>
                <w:ilvl w:val="0"/>
                <w:numId w:val="34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Badania przesiewowe w kierunku ryzyka reaktywacji HBV: anty-</w:t>
            </w:r>
            <w:proofErr w:type="spellStart"/>
            <w:r w:rsidRPr="00D107EF">
              <w:rPr>
                <w:sz w:val="20"/>
                <w:szCs w:val="20"/>
              </w:rPr>
              <w:t>HBcAg</w:t>
            </w:r>
            <w:proofErr w:type="spellEnd"/>
            <w:r w:rsidRPr="00D107EF">
              <w:rPr>
                <w:sz w:val="20"/>
                <w:szCs w:val="20"/>
              </w:rPr>
              <w:t xml:space="preserve"> i </w:t>
            </w:r>
            <w:proofErr w:type="spellStart"/>
            <w:r w:rsidRPr="00D107EF">
              <w:rPr>
                <w:sz w:val="20"/>
                <w:szCs w:val="20"/>
              </w:rPr>
              <w:t>HBsAg</w:t>
            </w:r>
            <w:proofErr w:type="spellEnd"/>
            <w:r w:rsidRPr="00D107EF">
              <w:rPr>
                <w:sz w:val="20"/>
                <w:szCs w:val="20"/>
              </w:rPr>
              <w:t xml:space="preserve">  w razie potrzeby konsultacja specjalisty ds. chorób zakaźnych </w:t>
            </w:r>
          </w:p>
          <w:p w:rsidR="00D854F9" w:rsidRPr="00D107EF" w:rsidRDefault="00D854F9" w:rsidP="003872CD">
            <w:pPr>
              <w:pStyle w:val="Akapitzlist"/>
              <w:numPr>
                <w:ilvl w:val="0"/>
                <w:numId w:val="34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Standardowe badania przesiewowe w kierunku raka piersi zgodnie z lokalnymi wytycznymi</w:t>
            </w:r>
          </w:p>
          <w:p w:rsidR="00D854F9" w:rsidRPr="00D107EF" w:rsidRDefault="00D854F9" w:rsidP="003872CD">
            <w:pPr>
              <w:pStyle w:val="Akapitzlist"/>
              <w:numPr>
                <w:ilvl w:val="0"/>
                <w:numId w:val="34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RTG płuc, a w razie potrzeby konsultacja  specjalisty chorób płuc </w:t>
            </w:r>
          </w:p>
          <w:p w:rsidR="00D854F9" w:rsidRPr="00D107EF" w:rsidRDefault="00D854F9" w:rsidP="00D107EF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107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8. </w:t>
            </w:r>
            <w:r w:rsidR="00CB413C" w:rsidRPr="00D107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Monitorowanie leczenia</w:t>
            </w:r>
          </w:p>
          <w:p w:rsidR="00E30662" w:rsidRPr="00D107EF" w:rsidRDefault="00D854F9" w:rsidP="00D107EF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a) Postać rzutowo-</w:t>
            </w:r>
            <w:proofErr w:type="spellStart"/>
            <w:r w:rsidRPr="00D107EF">
              <w:rPr>
                <w:rFonts w:ascii="Times New Roman" w:eastAsia="Times New Roman" w:hAnsi="Times New Roman" w:cs="Times New Roman"/>
                <w:sz w:val="20"/>
                <w:szCs w:val="20"/>
              </w:rPr>
              <w:t>remisyjna</w:t>
            </w:r>
            <w:proofErr w:type="spellEnd"/>
          </w:p>
          <w:p w:rsidR="00D854F9" w:rsidRPr="00D107EF" w:rsidRDefault="00D854F9" w:rsidP="003872CD">
            <w:pPr>
              <w:pStyle w:val="Akapitzlist"/>
              <w:widowControl w:val="0"/>
              <w:numPr>
                <w:ilvl w:val="0"/>
                <w:numId w:val="35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Ocena stanu neurologicznego co 3 miesiące</w:t>
            </w:r>
          </w:p>
          <w:p w:rsidR="00D854F9" w:rsidRPr="00D107EF" w:rsidRDefault="00D854F9" w:rsidP="003872CD">
            <w:pPr>
              <w:pStyle w:val="Akapitzlist"/>
              <w:widowControl w:val="0"/>
              <w:numPr>
                <w:ilvl w:val="0"/>
                <w:numId w:val="35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 xml:space="preserve">MRI (jeśli zasadne, po podaniu kontrastu) </w:t>
            </w:r>
            <w:r w:rsidR="002C6B9A" w:rsidRPr="00D107EF">
              <w:rPr>
                <w:sz w:val="20"/>
                <w:szCs w:val="20"/>
              </w:rPr>
              <w:t xml:space="preserve">po każdych 12-tu </w:t>
            </w:r>
            <w:r w:rsidRPr="00D107EF">
              <w:rPr>
                <w:sz w:val="20"/>
                <w:szCs w:val="20"/>
              </w:rPr>
              <w:t>miesiącach leczenia. Decyzję o podaniu kontrastu podejmuje specjalista neurolog.</w:t>
            </w:r>
          </w:p>
          <w:p w:rsidR="00D854F9" w:rsidRPr="00D107EF" w:rsidRDefault="00D854F9" w:rsidP="003872CD">
            <w:pPr>
              <w:pStyle w:val="Akapitzlist"/>
              <w:widowControl w:val="0"/>
              <w:numPr>
                <w:ilvl w:val="0"/>
                <w:numId w:val="35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badania laboratoryjne, w tym: morfologia krwi z rozmazem, badania funkcji nerek, wątroby, anty-</w:t>
            </w:r>
            <w:proofErr w:type="spellStart"/>
            <w:r w:rsidRPr="00D107EF">
              <w:rPr>
                <w:sz w:val="20"/>
                <w:szCs w:val="20"/>
              </w:rPr>
              <w:t>HBcAg</w:t>
            </w:r>
            <w:proofErr w:type="spellEnd"/>
            <w:r w:rsidRPr="00D107EF">
              <w:rPr>
                <w:sz w:val="20"/>
                <w:szCs w:val="20"/>
              </w:rPr>
              <w:t>, badanie ogólne moczu, test ciążowy przed każdym podaniem leku</w:t>
            </w:r>
          </w:p>
          <w:p w:rsidR="00D854F9" w:rsidRPr="00D107EF" w:rsidRDefault="00D854F9" w:rsidP="00D107EF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sz w:val="20"/>
                <w:szCs w:val="20"/>
              </w:rPr>
              <w:t>b) Postać pierwotnie postępująca</w:t>
            </w:r>
          </w:p>
          <w:p w:rsidR="00D854F9" w:rsidRPr="00D107EF" w:rsidRDefault="00D854F9" w:rsidP="003872CD">
            <w:pPr>
              <w:pStyle w:val="Akapitzlist"/>
              <w:widowControl w:val="0"/>
              <w:numPr>
                <w:ilvl w:val="0"/>
                <w:numId w:val="36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Ocena stanu neurologicznego co 3 miesiące</w:t>
            </w:r>
          </w:p>
          <w:p w:rsidR="00D854F9" w:rsidRPr="00D107EF" w:rsidRDefault="00D854F9" w:rsidP="003872CD">
            <w:pPr>
              <w:pStyle w:val="Akapitzlist"/>
              <w:widowControl w:val="0"/>
              <w:numPr>
                <w:ilvl w:val="0"/>
                <w:numId w:val="36"/>
              </w:numPr>
              <w:spacing w:before="120" w:after="120" w:line="276" w:lineRule="auto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Badania laboratoryjne, w tym: morfologia krwi z rozmazem, badania funkcji nerek, wątroby, anty-</w:t>
            </w:r>
            <w:proofErr w:type="spellStart"/>
            <w:r w:rsidRPr="00D107EF">
              <w:rPr>
                <w:sz w:val="20"/>
                <w:szCs w:val="20"/>
              </w:rPr>
              <w:t>HBcAg</w:t>
            </w:r>
            <w:proofErr w:type="spellEnd"/>
            <w:r w:rsidRPr="00D107EF">
              <w:rPr>
                <w:sz w:val="20"/>
                <w:szCs w:val="20"/>
              </w:rPr>
              <w:t>, badanie ogólne moczu, test ciążowy przed każdym podaniem leku</w:t>
            </w:r>
          </w:p>
          <w:p w:rsidR="00153A53" w:rsidRPr="00D107EF" w:rsidRDefault="00153A53" w:rsidP="00D107EF">
            <w:pPr>
              <w:pStyle w:val="Akapitzlist"/>
              <w:spacing w:before="120" w:after="120" w:line="276" w:lineRule="auto"/>
              <w:ind w:left="0"/>
              <w:rPr>
                <w:b/>
                <w:bCs/>
                <w:sz w:val="20"/>
                <w:szCs w:val="20"/>
              </w:rPr>
            </w:pPr>
            <w:r w:rsidRPr="00D107EF">
              <w:rPr>
                <w:b/>
                <w:bCs/>
                <w:sz w:val="20"/>
                <w:szCs w:val="20"/>
              </w:rPr>
              <w:t>9. Badania przy kwalifikacji do leczenia kladrybiną w tabletkach</w:t>
            </w:r>
          </w:p>
          <w:p w:rsidR="00153A53" w:rsidRPr="00D107EF" w:rsidRDefault="00153A53" w:rsidP="003872CD">
            <w:pPr>
              <w:pStyle w:val="Default"/>
              <w:numPr>
                <w:ilvl w:val="0"/>
                <w:numId w:val="41"/>
              </w:numPr>
              <w:spacing w:before="120" w:after="120"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morfologia krwi z rozmazem</w:t>
            </w:r>
            <w:r w:rsidRPr="00D107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z uwzględnieniem</w:t>
            </w:r>
            <w:r w:rsidRPr="00D107E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liczby limfocytów </w:t>
            </w:r>
            <w:r w:rsidRPr="00D107EF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przed rozpoczęciem stosowania leku;</w:t>
            </w:r>
          </w:p>
          <w:p w:rsidR="00153A53" w:rsidRPr="00D107EF" w:rsidRDefault="00153A53" w:rsidP="003872CD">
            <w:pPr>
              <w:pStyle w:val="Default"/>
              <w:numPr>
                <w:ilvl w:val="0"/>
                <w:numId w:val="41"/>
              </w:numPr>
              <w:spacing w:before="120" w:after="120"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rezonans magnetyczny z kontrastem; rezonans magnetyczny wykonuje się w okresie kwalifikacji do programu. Jeżeli leczenie nie zostanie rozpoczęte w okresie 60 dni od jego wykonania to badanie powtarza się tuż przed zastosowaniem pierwszej dawki leku; </w:t>
            </w:r>
          </w:p>
          <w:p w:rsidR="00153A53" w:rsidRPr="00D107EF" w:rsidRDefault="00153A53" w:rsidP="003872CD">
            <w:pPr>
              <w:pStyle w:val="Default"/>
              <w:numPr>
                <w:ilvl w:val="0"/>
                <w:numId w:val="41"/>
              </w:numPr>
              <w:spacing w:before="120" w:after="120"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test ciążowy u pacjentek w wieku rozrodczym;</w:t>
            </w:r>
          </w:p>
          <w:p w:rsidR="00153A53" w:rsidRPr="00D107EF" w:rsidRDefault="00153A53" w:rsidP="003872CD">
            <w:pPr>
              <w:pStyle w:val="Default"/>
              <w:numPr>
                <w:ilvl w:val="0"/>
                <w:numId w:val="41"/>
              </w:numPr>
              <w:spacing w:before="120" w:after="120"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 stanu neurologicznego z określeniem EDSS;</w:t>
            </w:r>
          </w:p>
          <w:p w:rsidR="00153A53" w:rsidRPr="00D107EF" w:rsidRDefault="00153A53" w:rsidP="003872CD">
            <w:pPr>
              <w:pStyle w:val="Default"/>
              <w:numPr>
                <w:ilvl w:val="0"/>
                <w:numId w:val="41"/>
              </w:numPr>
              <w:spacing w:before="120" w:after="120"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 przesiewowe w kierunku HIV oraz HBV, HCV, TBC;</w:t>
            </w:r>
          </w:p>
          <w:p w:rsidR="00153A53" w:rsidRPr="00D107EF" w:rsidRDefault="00153A53" w:rsidP="003872CD">
            <w:pPr>
              <w:pStyle w:val="Default"/>
              <w:numPr>
                <w:ilvl w:val="0"/>
                <w:numId w:val="41"/>
              </w:numPr>
              <w:spacing w:before="120" w:after="120"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oznaczenie stężenia kreatyniny w surowicy;</w:t>
            </w:r>
          </w:p>
          <w:p w:rsidR="00153A53" w:rsidRPr="00D107EF" w:rsidRDefault="00153A53" w:rsidP="003872CD">
            <w:pPr>
              <w:pStyle w:val="Default"/>
              <w:numPr>
                <w:ilvl w:val="0"/>
                <w:numId w:val="41"/>
              </w:numPr>
              <w:spacing w:before="120" w:after="120"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oznaczenie poziomu przeciwciał przeciw wirusowi ospy wietrznej i półpaśca (VZV); zaleca się szczepienie pacjentów bez obecności przeciwciał VZV 4-6 tyg. przed włączeniem leczenia kladrybiną w tabletkach.</w:t>
            </w:r>
          </w:p>
          <w:p w:rsidR="00153A53" w:rsidRPr="00D107EF" w:rsidRDefault="00153A53" w:rsidP="00D107EF">
            <w:pPr>
              <w:pStyle w:val="Akapitzlist"/>
              <w:spacing w:before="120" w:after="120" w:line="276" w:lineRule="auto"/>
              <w:ind w:left="0"/>
              <w:rPr>
                <w:b/>
                <w:bCs/>
                <w:sz w:val="20"/>
                <w:szCs w:val="20"/>
              </w:rPr>
            </w:pPr>
            <w:r w:rsidRPr="00B522F5">
              <w:rPr>
                <w:b/>
                <w:sz w:val="20"/>
                <w:szCs w:val="20"/>
              </w:rPr>
              <w:t>10</w:t>
            </w:r>
            <w:r w:rsidRPr="00B522F5">
              <w:rPr>
                <w:b/>
                <w:bCs/>
                <w:sz w:val="20"/>
                <w:szCs w:val="20"/>
              </w:rPr>
              <w:t>.</w:t>
            </w:r>
            <w:r w:rsidRPr="00D107EF">
              <w:rPr>
                <w:b/>
                <w:bCs/>
                <w:sz w:val="20"/>
                <w:szCs w:val="20"/>
              </w:rPr>
              <w:t xml:space="preserve"> Monitorowanie l</w:t>
            </w:r>
            <w:r w:rsidR="00CB413C" w:rsidRPr="00D107EF">
              <w:rPr>
                <w:b/>
                <w:bCs/>
                <w:sz w:val="20"/>
                <w:szCs w:val="20"/>
              </w:rPr>
              <w:t>eczenia kladrybiną w tabletkach</w:t>
            </w:r>
          </w:p>
          <w:p w:rsidR="00153A53" w:rsidRPr="00D107EF" w:rsidRDefault="00153A53" w:rsidP="003872CD">
            <w:pPr>
              <w:pStyle w:val="Default"/>
              <w:numPr>
                <w:ilvl w:val="0"/>
                <w:numId w:val="42"/>
              </w:numPr>
              <w:spacing w:before="120" w:after="120" w:line="276" w:lineRule="auto"/>
              <w:ind w:left="357" w:hanging="3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 miesiące i 6 miesięcy po rozpoczęciu leczenia w każdym roku leczenia</w:t>
            </w:r>
          </w:p>
          <w:p w:rsidR="00153A53" w:rsidRPr="00D107EF" w:rsidRDefault="00153A53" w:rsidP="003872CD">
            <w:pPr>
              <w:pStyle w:val="Default"/>
              <w:numPr>
                <w:ilvl w:val="0"/>
                <w:numId w:val="43"/>
              </w:numPr>
              <w:spacing w:before="120" w:after="120" w:line="276" w:lineRule="auto"/>
              <w:ind w:left="714" w:hanging="3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morfologia krwi z rozmazem, z uwzględnieniem</w:t>
            </w:r>
            <w:r w:rsidRPr="00D107E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liczby limfocytów </w:t>
            </w:r>
            <w:r w:rsidRPr="00D107EF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przed rozpoczęciem stosowania leku</w:t>
            </w:r>
          </w:p>
          <w:p w:rsidR="00153A53" w:rsidRPr="00D107EF" w:rsidRDefault="00153A53" w:rsidP="00D107EF">
            <w:pPr>
              <w:pStyle w:val="Default"/>
              <w:spacing w:before="120" w:after="12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Jeśli liczba limfocytów zmniejszy się do wartości </w:t>
            </w:r>
            <w:r w:rsidRPr="00D107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poniżej 500 komórek/mm</w:t>
            </w:r>
            <w:r w:rsidRPr="00D107E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D107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należy ją aktywnie monitorować do cz</w:t>
            </w:r>
            <w:r w:rsidR="00B522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asu ponownego wzrostu wartości do wartości co najmniej 800 </w:t>
            </w:r>
            <w:r w:rsidR="00B522F5" w:rsidRPr="002B25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B522F5" w:rsidRPr="002B25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komórek/mm</w:t>
            </w:r>
            <w:r w:rsidR="00B522F5" w:rsidRPr="002B25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="00B522F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 xml:space="preserve"> .</w:t>
            </w:r>
            <w:r w:rsidR="00B522F5" w:rsidRPr="00D107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153A53" w:rsidRPr="00D107EF" w:rsidRDefault="00153A53" w:rsidP="003872CD">
            <w:pPr>
              <w:pStyle w:val="Default"/>
              <w:numPr>
                <w:ilvl w:val="0"/>
                <w:numId w:val="42"/>
              </w:numPr>
              <w:spacing w:before="120" w:after="120" w:line="276" w:lineRule="auto"/>
              <w:ind w:left="357" w:hanging="3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 kolejnym kursem leku:</w:t>
            </w:r>
          </w:p>
          <w:p w:rsidR="00153A53" w:rsidRPr="00D107EF" w:rsidRDefault="00153A53" w:rsidP="003872CD">
            <w:pPr>
              <w:pStyle w:val="Default"/>
              <w:numPr>
                <w:ilvl w:val="0"/>
                <w:numId w:val="44"/>
              </w:numPr>
              <w:spacing w:before="120" w:after="120" w:line="276" w:lineRule="auto"/>
              <w:ind w:left="714" w:hanging="3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morfologia krwi z rozmazem, z uwzględnieniem liczby limfocytów przed rozpoczęciem stosowania leku;</w:t>
            </w:r>
          </w:p>
          <w:p w:rsidR="00153A53" w:rsidRPr="00D107EF" w:rsidRDefault="00153A53" w:rsidP="003872CD">
            <w:pPr>
              <w:pStyle w:val="Default"/>
              <w:numPr>
                <w:ilvl w:val="0"/>
                <w:numId w:val="44"/>
              </w:numPr>
              <w:spacing w:before="120" w:after="120" w:line="276" w:lineRule="auto"/>
              <w:ind w:left="714" w:hanging="3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oznaczenie stężenia kreatyniny w surowicy; </w:t>
            </w:r>
          </w:p>
          <w:p w:rsidR="00153A53" w:rsidRPr="00D107EF" w:rsidRDefault="00153A53" w:rsidP="003872CD">
            <w:pPr>
              <w:pStyle w:val="Default"/>
              <w:numPr>
                <w:ilvl w:val="0"/>
                <w:numId w:val="44"/>
              </w:numPr>
              <w:spacing w:before="120" w:after="120" w:line="276" w:lineRule="auto"/>
              <w:ind w:left="714" w:hanging="3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 kobiet w wieku rozrodczym – test ciążowy;</w:t>
            </w:r>
          </w:p>
          <w:p w:rsidR="00153A53" w:rsidRPr="00D107EF" w:rsidRDefault="00153A53" w:rsidP="003872CD">
            <w:pPr>
              <w:pStyle w:val="Default"/>
              <w:numPr>
                <w:ilvl w:val="0"/>
                <w:numId w:val="44"/>
              </w:numPr>
              <w:spacing w:before="120" w:after="120" w:line="276" w:lineRule="auto"/>
              <w:ind w:left="714" w:hanging="3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 przesiewowe w kierunku HIV oraz HBV, HCV, TBC;</w:t>
            </w:r>
          </w:p>
          <w:p w:rsidR="00153A53" w:rsidRPr="00D107EF" w:rsidRDefault="00153A53" w:rsidP="003872CD">
            <w:pPr>
              <w:pStyle w:val="Default"/>
              <w:numPr>
                <w:ilvl w:val="0"/>
                <w:numId w:val="44"/>
              </w:numPr>
              <w:spacing w:before="120" w:after="120" w:line="276" w:lineRule="auto"/>
              <w:ind w:left="714" w:hanging="3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1" w:name="_Hlk18679822"/>
            <w:r w:rsidRPr="00D107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ocena stanu neurologicznego z określeniem EDSS</w:t>
            </w:r>
            <w:bookmarkEnd w:id="1"/>
            <w:r w:rsidRPr="00D107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153A53" w:rsidRPr="00D107EF" w:rsidRDefault="00153A53" w:rsidP="003872CD">
            <w:pPr>
              <w:pStyle w:val="Default"/>
              <w:numPr>
                <w:ilvl w:val="0"/>
                <w:numId w:val="42"/>
              </w:numPr>
              <w:spacing w:before="120" w:after="120" w:line="276" w:lineRule="auto"/>
              <w:ind w:left="357" w:hanging="3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2" w:name="_Hlk18679728"/>
            <w:r w:rsidRPr="00D107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kolejnych latach:</w:t>
            </w:r>
          </w:p>
          <w:p w:rsidR="00153A53" w:rsidRPr="00D107EF" w:rsidRDefault="00153A53" w:rsidP="003872CD">
            <w:pPr>
              <w:pStyle w:val="Default"/>
              <w:numPr>
                <w:ilvl w:val="0"/>
                <w:numId w:val="45"/>
              </w:numPr>
              <w:spacing w:before="120" w:after="120" w:line="276" w:lineRule="auto"/>
              <w:ind w:left="74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wizyta kontrolna na rok z oceną stanu klinicznego;</w:t>
            </w:r>
          </w:p>
          <w:p w:rsidR="00153A53" w:rsidRPr="00D107EF" w:rsidRDefault="00153A53" w:rsidP="003872CD">
            <w:pPr>
              <w:pStyle w:val="Default"/>
              <w:numPr>
                <w:ilvl w:val="0"/>
                <w:numId w:val="45"/>
              </w:numPr>
              <w:spacing w:before="120" w:after="120" w:line="276" w:lineRule="auto"/>
              <w:ind w:left="74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107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zalecane MRI raz na rok.</w:t>
            </w:r>
            <w:bookmarkEnd w:id="2"/>
          </w:p>
          <w:p w:rsidR="00783659" w:rsidRPr="00D107EF" w:rsidRDefault="00153A53" w:rsidP="00D107EF">
            <w:pPr>
              <w:pStyle w:val="Akapitzlist"/>
              <w:spacing w:before="120" w:after="120" w:line="276" w:lineRule="auto"/>
              <w:ind w:left="0"/>
              <w:rPr>
                <w:b/>
                <w:bCs/>
                <w:sz w:val="20"/>
                <w:szCs w:val="20"/>
              </w:rPr>
            </w:pPr>
            <w:r w:rsidRPr="00D107EF">
              <w:rPr>
                <w:rFonts w:eastAsia="Calibri"/>
                <w:b/>
                <w:sz w:val="20"/>
                <w:szCs w:val="20"/>
                <w:lang w:eastAsia="en-US"/>
              </w:rPr>
              <w:t>11</w:t>
            </w:r>
            <w:r w:rsidR="004532F0" w:rsidRPr="00D107EF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4532F0" w:rsidRPr="00D107E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B413C" w:rsidRPr="00D107EF">
              <w:rPr>
                <w:b/>
                <w:bCs/>
                <w:sz w:val="20"/>
                <w:szCs w:val="20"/>
              </w:rPr>
              <w:t>Monitorowanie programu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ind w:left="357" w:hanging="357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ind w:left="357" w:hanging="357"/>
              <w:rPr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783659" w:rsidRPr="00D107EF" w:rsidRDefault="00783659" w:rsidP="003872CD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ind w:left="357" w:hanging="357"/>
              <w:rPr>
                <w:b/>
                <w:sz w:val="20"/>
                <w:szCs w:val="20"/>
              </w:rPr>
            </w:pPr>
            <w:r w:rsidRPr="00D107EF">
              <w:rPr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  <w:p w:rsidR="00783659" w:rsidRPr="00D107EF" w:rsidRDefault="00783659" w:rsidP="00D107EF">
            <w:pPr>
              <w:spacing w:before="120" w:after="12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B79E6" w:rsidRDefault="00A2210E"/>
    <w:p w:rsidR="00610CDE" w:rsidRDefault="00610CDE"/>
    <w:sectPr w:rsidR="00610CDE" w:rsidSect="0014355B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23DF3"/>
    <w:multiLevelType w:val="hybridMultilevel"/>
    <w:tmpl w:val="A8A66C76"/>
    <w:lvl w:ilvl="0" w:tplc="04150011">
      <w:start w:val="1"/>
      <w:numFmt w:val="decimal"/>
      <w:lvlText w:val="%1)"/>
      <w:lvlJc w:val="left"/>
      <w:pPr>
        <w:ind w:left="746" w:hanging="360"/>
      </w:pPr>
    </w:lvl>
    <w:lvl w:ilvl="1" w:tplc="04150019" w:tentative="1">
      <w:start w:val="1"/>
      <w:numFmt w:val="lowerLetter"/>
      <w:lvlText w:val="%2."/>
      <w:lvlJc w:val="left"/>
      <w:pPr>
        <w:ind w:left="1466" w:hanging="360"/>
      </w:pPr>
    </w:lvl>
    <w:lvl w:ilvl="2" w:tplc="0415001B" w:tentative="1">
      <w:start w:val="1"/>
      <w:numFmt w:val="lowerRoman"/>
      <w:lvlText w:val="%3."/>
      <w:lvlJc w:val="right"/>
      <w:pPr>
        <w:ind w:left="2186" w:hanging="180"/>
      </w:pPr>
    </w:lvl>
    <w:lvl w:ilvl="3" w:tplc="0415000F" w:tentative="1">
      <w:start w:val="1"/>
      <w:numFmt w:val="decimal"/>
      <w:lvlText w:val="%4."/>
      <w:lvlJc w:val="left"/>
      <w:pPr>
        <w:ind w:left="2906" w:hanging="360"/>
      </w:pPr>
    </w:lvl>
    <w:lvl w:ilvl="4" w:tplc="04150019" w:tentative="1">
      <w:start w:val="1"/>
      <w:numFmt w:val="lowerLetter"/>
      <w:lvlText w:val="%5."/>
      <w:lvlJc w:val="left"/>
      <w:pPr>
        <w:ind w:left="3626" w:hanging="360"/>
      </w:pPr>
    </w:lvl>
    <w:lvl w:ilvl="5" w:tplc="0415001B" w:tentative="1">
      <w:start w:val="1"/>
      <w:numFmt w:val="lowerRoman"/>
      <w:lvlText w:val="%6."/>
      <w:lvlJc w:val="right"/>
      <w:pPr>
        <w:ind w:left="4346" w:hanging="180"/>
      </w:pPr>
    </w:lvl>
    <w:lvl w:ilvl="6" w:tplc="0415000F" w:tentative="1">
      <w:start w:val="1"/>
      <w:numFmt w:val="decimal"/>
      <w:lvlText w:val="%7."/>
      <w:lvlJc w:val="left"/>
      <w:pPr>
        <w:ind w:left="5066" w:hanging="360"/>
      </w:pPr>
    </w:lvl>
    <w:lvl w:ilvl="7" w:tplc="04150019" w:tentative="1">
      <w:start w:val="1"/>
      <w:numFmt w:val="lowerLetter"/>
      <w:lvlText w:val="%8."/>
      <w:lvlJc w:val="left"/>
      <w:pPr>
        <w:ind w:left="5786" w:hanging="360"/>
      </w:pPr>
    </w:lvl>
    <w:lvl w:ilvl="8" w:tplc="0415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1" w15:restartNumberingAfterBreak="0">
    <w:nsid w:val="0B295350"/>
    <w:multiLevelType w:val="hybridMultilevel"/>
    <w:tmpl w:val="D58AA9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16517B"/>
    <w:multiLevelType w:val="hybridMultilevel"/>
    <w:tmpl w:val="D6EEFC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B02F7A"/>
    <w:multiLevelType w:val="multilevel"/>
    <w:tmpl w:val="30C2ED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11A38EA"/>
    <w:multiLevelType w:val="hybridMultilevel"/>
    <w:tmpl w:val="43EE92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5A539C"/>
    <w:multiLevelType w:val="hybridMultilevel"/>
    <w:tmpl w:val="F50A3DC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263A26"/>
    <w:multiLevelType w:val="hybridMultilevel"/>
    <w:tmpl w:val="99F23F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D47D2"/>
    <w:multiLevelType w:val="hybridMultilevel"/>
    <w:tmpl w:val="9952728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9753F0"/>
    <w:multiLevelType w:val="hybridMultilevel"/>
    <w:tmpl w:val="C7EAF4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F20164"/>
    <w:multiLevelType w:val="hybridMultilevel"/>
    <w:tmpl w:val="793C74D0"/>
    <w:lvl w:ilvl="0" w:tplc="0520F494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F1218A"/>
    <w:multiLevelType w:val="hybridMultilevel"/>
    <w:tmpl w:val="B13CFC1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2B0106"/>
    <w:multiLevelType w:val="hybridMultilevel"/>
    <w:tmpl w:val="E7483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314A78"/>
    <w:multiLevelType w:val="multilevel"/>
    <w:tmpl w:val="5B10DF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0190F3E"/>
    <w:multiLevelType w:val="hybridMultilevel"/>
    <w:tmpl w:val="D4CAC5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0D1DEB"/>
    <w:multiLevelType w:val="hybridMultilevel"/>
    <w:tmpl w:val="0E901CC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994D93"/>
    <w:multiLevelType w:val="hybridMultilevel"/>
    <w:tmpl w:val="25A487C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213AE9"/>
    <w:multiLevelType w:val="hybridMultilevel"/>
    <w:tmpl w:val="5D04FF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E27E87"/>
    <w:multiLevelType w:val="hybridMultilevel"/>
    <w:tmpl w:val="CF0A38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E1D563B"/>
    <w:multiLevelType w:val="hybridMultilevel"/>
    <w:tmpl w:val="9FF86A4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55589A"/>
    <w:multiLevelType w:val="hybridMultilevel"/>
    <w:tmpl w:val="15CEFD2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0F156A9"/>
    <w:multiLevelType w:val="hybridMultilevel"/>
    <w:tmpl w:val="90C42DD4"/>
    <w:lvl w:ilvl="0" w:tplc="991C5ECC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E1041D"/>
    <w:multiLevelType w:val="hybridMultilevel"/>
    <w:tmpl w:val="E7C625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1F4D8A"/>
    <w:multiLevelType w:val="hybridMultilevel"/>
    <w:tmpl w:val="9FF86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7A46CE"/>
    <w:multiLevelType w:val="hybridMultilevel"/>
    <w:tmpl w:val="009218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A868E6"/>
    <w:multiLevelType w:val="multilevel"/>
    <w:tmpl w:val="1804C4E6"/>
    <w:lvl w:ilvl="0">
      <w:start w:val="1"/>
      <w:numFmt w:val="lowerLetter"/>
      <w:lvlText w:val="%1."/>
      <w:lvlJc w:val="left"/>
      <w:pPr>
        <w:ind w:left="0" w:firstLine="786"/>
      </w:pPr>
    </w:lvl>
    <w:lvl w:ilvl="1">
      <w:start w:val="1"/>
      <w:numFmt w:val="lowerLetter"/>
      <w:lvlText w:val="%2."/>
      <w:lvlJc w:val="left"/>
      <w:pPr>
        <w:ind w:left="720" w:firstLine="1506"/>
      </w:pPr>
    </w:lvl>
    <w:lvl w:ilvl="2">
      <w:start w:val="1"/>
      <w:numFmt w:val="lowerRoman"/>
      <w:lvlText w:val="%3."/>
      <w:lvlJc w:val="right"/>
      <w:pPr>
        <w:ind w:left="1440" w:firstLine="2406"/>
      </w:pPr>
    </w:lvl>
    <w:lvl w:ilvl="3">
      <w:start w:val="1"/>
      <w:numFmt w:val="decimal"/>
      <w:lvlText w:val="%4."/>
      <w:lvlJc w:val="left"/>
      <w:pPr>
        <w:ind w:left="2160" w:firstLine="2946"/>
      </w:pPr>
    </w:lvl>
    <w:lvl w:ilvl="4">
      <w:start w:val="1"/>
      <w:numFmt w:val="lowerLetter"/>
      <w:lvlText w:val="%5."/>
      <w:lvlJc w:val="left"/>
      <w:pPr>
        <w:ind w:left="2880" w:firstLine="3666"/>
      </w:pPr>
    </w:lvl>
    <w:lvl w:ilvl="5">
      <w:start w:val="1"/>
      <w:numFmt w:val="lowerRoman"/>
      <w:lvlText w:val="%6."/>
      <w:lvlJc w:val="right"/>
      <w:pPr>
        <w:ind w:left="3600" w:firstLine="4566"/>
      </w:pPr>
    </w:lvl>
    <w:lvl w:ilvl="6">
      <w:start w:val="1"/>
      <w:numFmt w:val="decimal"/>
      <w:lvlText w:val="%7."/>
      <w:lvlJc w:val="left"/>
      <w:pPr>
        <w:ind w:left="4320" w:firstLine="5106"/>
      </w:pPr>
    </w:lvl>
    <w:lvl w:ilvl="7">
      <w:start w:val="1"/>
      <w:numFmt w:val="lowerLetter"/>
      <w:lvlText w:val="%8."/>
      <w:lvlJc w:val="left"/>
      <w:pPr>
        <w:ind w:left="5040" w:firstLine="5826"/>
      </w:pPr>
    </w:lvl>
    <w:lvl w:ilvl="8">
      <w:start w:val="1"/>
      <w:numFmt w:val="lowerRoman"/>
      <w:lvlText w:val="%9."/>
      <w:lvlJc w:val="right"/>
      <w:pPr>
        <w:ind w:left="5760" w:firstLine="6726"/>
      </w:pPr>
    </w:lvl>
  </w:abstractNum>
  <w:abstractNum w:abstractNumId="25" w15:restartNumberingAfterBreak="0">
    <w:nsid w:val="44744B63"/>
    <w:multiLevelType w:val="multilevel"/>
    <w:tmpl w:val="A762F8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86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8" w:hanging="1440"/>
      </w:pPr>
      <w:rPr>
        <w:rFonts w:hint="default"/>
      </w:rPr>
    </w:lvl>
  </w:abstractNum>
  <w:abstractNum w:abstractNumId="26" w15:restartNumberingAfterBreak="0">
    <w:nsid w:val="4AA72344"/>
    <w:multiLevelType w:val="hybridMultilevel"/>
    <w:tmpl w:val="33C8D730"/>
    <w:lvl w:ilvl="0" w:tplc="7FA42E0E">
      <w:start w:val="1"/>
      <w:numFmt w:val="decimal"/>
      <w:lvlText w:val="%1)"/>
      <w:lvlJc w:val="left"/>
      <w:pPr>
        <w:ind w:left="3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06" w:hanging="360"/>
      </w:pPr>
    </w:lvl>
    <w:lvl w:ilvl="2" w:tplc="0415001B">
      <w:start w:val="1"/>
      <w:numFmt w:val="lowerRoman"/>
      <w:lvlText w:val="%3."/>
      <w:lvlJc w:val="right"/>
      <w:pPr>
        <w:ind w:left="1826" w:hanging="180"/>
      </w:pPr>
    </w:lvl>
    <w:lvl w:ilvl="3" w:tplc="0415000F">
      <w:start w:val="1"/>
      <w:numFmt w:val="decimal"/>
      <w:lvlText w:val="%4."/>
      <w:lvlJc w:val="left"/>
      <w:pPr>
        <w:ind w:left="2546" w:hanging="360"/>
      </w:pPr>
    </w:lvl>
    <w:lvl w:ilvl="4" w:tplc="04150019">
      <w:start w:val="1"/>
      <w:numFmt w:val="lowerLetter"/>
      <w:lvlText w:val="%5."/>
      <w:lvlJc w:val="left"/>
      <w:pPr>
        <w:ind w:left="3266" w:hanging="360"/>
      </w:pPr>
    </w:lvl>
    <w:lvl w:ilvl="5" w:tplc="0415001B">
      <w:start w:val="1"/>
      <w:numFmt w:val="lowerRoman"/>
      <w:lvlText w:val="%6."/>
      <w:lvlJc w:val="right"/>
      <w:pPr>
        <w:ind w:left="3986" w:hanging="180"/>
      </w:pPr>
    </w:lvl>
    <w:lvl w:ilvl="6" w:tplc="0415000F">
      <w:start w:val="1"/>
      <w:numFmt w:val="decimal"/>
      <w:lvlText w:val="%7."/>
      <w:lvlJc w:val="left"/>
      <w:pPr>
        <w:ind w:left="4706" w:hanging="360"/>
      </w:pPr>
    </w:lvl>
    <w:lvl w:ilvl="7" w:tplc="04150019">
      <w:start w:val="1"/>
      <w:numFmt w:val="lowerLetter"/>
      <w:lvlText w:val="%8."/>
      <w:lvlJc w:val="left"/>
      <w:pPr>
        <w:ind w:left="5426" w:hanging="360"/>
      </w:pPr>
    </w:lvl>
    <w:lvl w:ilvl="8" w:tplc="0415001B">
      <w:start w:val="1"/>
      <w:numFmt w:val="lowerRoman"/>
      <w:lvlText w:val="%9."/>
      <w:lvlJc w:val="right"/>
      <w:pPr>
        <w:ind w:left="6146" w:hanging="180"/>
      </w:pPr>
    </w:lvl>
  </w:abstractNum>
  <w:abstractNum w:abstractNumId="27" w15:restartNumberingAfterBreak="0">
    <w:nsid w:val="5363320E"/>
    <w:multiLevelType w:val="hybridMultilevel"/>
    <w:tmpl w:val="6C2A01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8062207"/>
    <w:multiLevelType w:val="hybridMultilevel"/>
    <w:tmpl w:val="F50A3D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9A07EE"/>
    <w:multiLevelType w:val="hybridMultilevel"/>
    <w:tmpl w:val="E174A7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ED4279B"/>
    <w:multiLevelType w:val="hybridMultilevel"/>
    <w:tmpl w:val="58AE705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1" w15:restartNumberingAfterBreak="0">
    <w:nsid w:val="5F3F4034"/>
    <w:multiLevelType w:val="hybridMultilevel"/>
    <w:tmpl w:val="E1260C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FF917C0"/>
    <w:multiLevelType w:val="hybridMultilevel"/>
    <w:tmpl w:val="A5961630"/>
    <w:lvl w:ilvl="0" w:tplc="04150017">
      <w:start w:val="1"/>
      <w:numFmt w:val="lowerLetter"/>
      <w:lvlText w:val="%1)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3" w15:restartNumberingAfterBreak="0">
    <w:nsid w:val="601F5D1C"/>
    <w:multiLevelType w:val="hybridMultilevel"/>
    <w:tmpl w:val="DF94B79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22E471A"/>
    <w:multiLevelType w:val="hybridMultilevel"/>
    <w:tmpl w:val="E154FBD0"/>
    <w:lvl w:ilvl="0" w:tplc="3140E5C8">
      <w:start w:val="20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8C8076B"/>
    <w:multiLevelType w:val="hybridMultilevel"/>
    <w:tmpl w:val="4BBAA710"/>
    <w:lvl w:ilvl="0" w:tplc="842E495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0657F7"/>
    <w:multiLevelType w:val="hybridMultilevel"/>
    <w:tmpl w:val="DF94B7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9C2C9F"/>
    <w:multiLevelType w:val="multilevel"/>
    <w:tmpl w:val="377CFEA8"/>
    <w:lvl w:ilvl="0">
      <w:start w:val="1"/>
      <w:numFmt w:val="lowerLetter"/>
      <w:lvlText w:val="%1)"/>
      <w:lvlJc w:val="left"/>
      <w:pPr>
        <w:ind w:left="1080" w:firstLine="720"/>
      </w:pPr>
    </w:lvl>
    <w:lvl w:ilvl="1">
      <w:start w:val="1"/>
      <w:numFmt w:val="lowerLetter"/>
      <w:lvlText w:val="%2)"/>
      <w:lvlJc w:val="left"/>
      <w:pPr>
        <w:ind w:left="1800" w:firstLine="1440"/>
      </w:pPr>
    </w:lvl>
    <w:lvl w:ilvl="2">
      <w:start w:val="1"/>
      <w:numFmt w:val="lowerRoman"/>
      <w:lvlText w:val="%3."/>
      <w:lvlJc w:val="right"/>
      <w:pPr>
        <w:ind w:left="2520" w:firstLine="2340"/>
      </w:pPr>
    </w:lvl>
    <w:lvl w:ilvl="3">
      <w:start w:val="1"/>
      <w:numFmt w:val="decimal"/>
      <w:lvlText w:val="%4."/>
      <w:lvlJc w:val="left"/>
      <w:pPr>
        <w:ind w:left="3240" w:firstLine="2880"/>
      </w:pPr>
    </w:lvl>
    <w:lvl w:ilvl="4">
      <w:start w:val="1"/>
      <w:numFmt w:val="lowerLetter"/>
      <w:lvlText w:val="%5."/>
      <w:lvlJc w:val="left"/>
      <w:pPr>
        <w:ind w:left="3960" w:firstLine="3600"/>
      </w:pPr>
    </w:lvl>
    <w:lvl w:ilvl="5">
      <w:start w:val="1"/>
      <w:numFmt w:val="lowerRoman"/>
      <w:lvlText w:val="%6."/>
      <w:lvlJc w:val="right"/>
      <w:pPr>
        <w:ind w:left="4680" w:firstLine="4500"/>
      </w:pPr>
    </w:lvl>
    <w:lvl w:ilvl="6">
      <w:start w:val="1"/>
      <w:numFmt w:val="decimal"/>
      <w:lvlText w:val="%7."/>
      <w:lvlJc w:val="left"/>
      <w:pPr>
        <w:ind w:left="5400" w:firstLine="5040"/>
      </w:pPr>
    </w:lvl>
    <w:lvl w:ilvl="7">
      <w:start w:val="1"/>
      <w:numFmt w:val="lowerLetter"/>
      <w:lvlText w:val="%8."/>
      <w:lvlJc w:val="left"/>
      <w:pPr>
        <w:ind w:left="6120" w:firstLine="5760"/>
      </w:pPr>
    </w:lvl>
    <w:lvl w:ilvl="8">
      <w:start w:val="1"/>
      <w:numFmt w:val="lowerRoman"/>
      <w:lvlText w:val="%9."/>
      <w:lvlJc w:val="right"/>
      <w:pPr>
        <w:ind w:left="6840" w:firstLine="6660"/>
      </w:pPr>
    </w:lvl>
  </w:abstractNum>
  <w:abstractNum w:abstractNumId="38" w15:restartNumberingAfterBreak="0">
    <w:nsid w:val="6B69660F"/>
    <w:multiLevelType w:val="hybridMultilevel"/>
    <w:tmpl w:val="62388C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D273884"/>
    <w:multiLevelType w:val="hybridMultilevel"/>
    <w:tmpl w:val="E162F2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FC05663"/>
    <w:multiLevelType w:val="hybridMultilevel"/>
    <w:tmpl w:val="BF22F1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56E4096"/>
    <w:multiLevelType w:val="hybridMultilevel"/>
    <w:tmpl w:val="DF2E8F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EA4A19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E459BA"/>
    <w:multiLevelType w:val="multilevel"/>
    <w:tmpl w:val="1B5A9288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3" w15:restartNumberingAfterBreak="0">
    <w:nsid w:val="7C23282E"/>
    <w:multiLevelType w:val="hybridMultilevel"/>
    <w:tmpl w:val="90C42DD4"/>
    <w:lvl w:ilvl="0" w:tplc="991C5ECC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E277AB8"/>
    <w:multiLevelType w:val="hybridMultilevel"/>
    <w:tmpl w:val="A56492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98FC7A8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2"/>
  </w:num>
  <w:num w:numId="3">
    <w:abstractNumId w:val="21"/>
  </w:num>
  <w:num w:numId="4">
    <w:abstractNumId w:val="26"/>
  </w:num>
  <w:num w:numId="5">
    <w:abstractNumId w:val="36"/>
  </w:num>
  <w:num w:numId="6">
    <w:abstractNumId w:val="43"/>
  </w:num>
  <w:num w:numId="7">
    <w:abstractNumId w:val="35"/>
  </w:num>
  <w:num w:numId="8">
    <w:abstractNumId w:val="34"/>
  </w:num>
  <w:num w:numId="9">
    <w:abstractNumId w:val="14"/>
  </w:num>
  <w:num w:numId="10">
    <w:abstractNumId w:val="23"/>
  </w:num>
  <w:num w:numId="11">
    <w:abstractNumId w:val="28"/>
  </w:num>
  <w:num w:numId="12">
    <w:abstractNumId w:val="19"/>
  </w:num>
  <w:num w:numId="13">
    <w:abstractNumId w:val="0"/>
  </w:num>
  <w:num w:numId="14">
    <w:abstractNumId w:val="41"/>
  </w:num>
  <w:num w:numId="15">
    <w:abstractNumId w:val="1"/>
  </w:num>
  <w:num w:numId="16">
    <w:abstractNumId w:val="29"/>
  </w:num>
  <w:num w:numId="17">
    <w:abstractNumId w:val="15"/>
  </w:num>
  <w:num w:numId="18">
    <w:abstractNumId w:val="27"/>
  </w:num>
  <w:num w:numId="19">
    <w:abstractNumId w:val="30"/>
  </w:num>
  <w:num w:numId="20">
    <w:abstractNumId w:val="44"/>
  </w:num>
  <w:num w:numId="21">
    <w:abstractNumId w:val="31"/>
  </w:num>
  <w:num w:numId="22">
    <w:abstractNumId w:val="37"/>
  </w:num>
  <w:num w:numId="23">
    <w:abstractNumId w:val="42"/>
  </w:num>
  <w:num w:numId="24">
    <w:abstractNumId w:val="24"/>
  </w:num>
  <w:num w:numId="25">
    <w:abstractNumId w:val="10"/>
  </w:num>
  <w:num w:numId="26">
    <w:abstractNumId w:val="25"/>
  </w:num>
  <w:num w:numId="27">
    <w:abstractNumId w:val="16"/>
  </w:num>
  <w:num w:numId="28">
    <w:abstractNumId w:val="11"/>
  </w:num>
  <w:num w:numId="29">
    <w:abstractNumId w:val="3"/>
  </w:num>
  <w:num w:numId="30">
    <w:abstractNumId w:val="12"/>
  </w:num>
  <w:num w:numId="31">
    <w:abstractNumId w:val="8"/>
  </w:num>
  <w:num w:numId="32">
    <w:abstractNumId w:val="40"/>
  </w:num>
  <w:num w:numId="33">
    <w:abstractNumId w:val="7"/>
  </w:num>
  <w:num w:numId="34">
    <w:abstractNumId w:val="18"/>
  </w:num>
  <w:num w:numId="35">
    <w:abstractNumId w:val="13"/>
  </w:num>
  <w:num w:numId="36">
    <w:abstractNumId w:val="39"/>
  </w:num>
  <w:num w:numId="37">
    <w:abstractNumId w:val="2"/>
  </w:num>
  <w:num w:numId="38">
    <w:abstractNumId w:val="5"/>
  </w:num>
  <w:num w:numId="39">
    <w:abstractNumId w:val="33"/>
  </w:num>
  <w:num w:numId="40">
    <w:abstractNumId w:val="20"/>
  </w:num>
  <w:num w:numId="41">
    <w:abstractNumId w:val="38"/>
  </w:num>
  <w:num w:numId="42">
    <w:abstractNumId w:val="6"/>
  </w:num>
  <w:num w:numId="43">
    <w:abstractNumId w:val="32"/>
  </w:num>
  <w:num w:numId="44">
    <w:abstractNumId w:val="4"/>
  </w:num>
  <w:num w:numId="45">
    <w:abstractNumId w:val="17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659"/>
    <w:rsid w:val="000727A2"/>
    <w:rsid w:val="000D121C"/>
    <w:rsid w:val="000E5CE0"/>
    <w:rsid w:val="0010000F"/>
    <w:rsid w:val="00132362"/>
    <w:rsid w:val="001413F4"/>
    <w:rsid w:val="0014355B"/>
    <w:rsid w:val="001449D0"/>
    <w:rsid w:val="00153A53"/>
    <w:rsid w:val="001622D0"/>
    <w:rsid w:val="00165A51"/>
    <w:rsid w:val="00176D94"/>
    <w:rsid w:val="001800ED"/>
    <w:rsid w:val="0018041C"/>
    <w:rsid w:val="0019390C"/>
    <w:rsid w:val="001D2706"/>
    <w:rsid w:val="001D7BDB"/>
    <w:rsid w:val="00200F8B"/>
    <w:rsid w:val="00202951"/>
    <w:rsid w:val="002213CD"/>
    <w:rsid w:val="00242569"/>
    <w:rsid w:val="00244ED4"/>
    <w:rsid w:val="002534E2"/>
    <w:rsid w:val="002572EB"/>
    <w:rsid w:val="00286DAA"/>
    <w:rsid w:val="002B5CAE"/>
    <w:rsid w:val="002B73C4"/>
    <w:rsid w:val="002C6B9A"/>
    <w:rsid w:val="003177D7"/>
    <w:rsid w:val="0033111D"/>
    <w:rsid w:val="003445A4"/>
    <w:rsid w:val="00365CC9"/>
    <w:rsid w:val="003872CD"/>
    <w:rsid w:val="003A3447"/>
    <w:rsid w:val="003A4634"/>
    <w:rsid w:val="003B7A83"/>
    <w:rsid w:val="003D2A67"/>
    <w:rsid w:val="003E705E"/>
    <w:rsid w:val="004532F0"/>
    <w:rsid w:val="004762BF"/>
    <w:rsid w:val="00502176"/>
    <w:rsid w:val="00505839"/>
    <w:rsid w:val="00523614"/>
    <w:rsid w:val="00563191"/>
    <w:rsid w:val="00575729"/>
    <w:rsid w:val="00577443"/>
    <w:rsid w:val="005A776D"/>
    <w:rsid w:val="005C4092"/>
    <w:rsid w:val="005C6EB9"/>
    <w:rsid w:val="005E09C7"/>
    <w:rsid w:val="005F49B6"/>
    <w:rsid w:val="00601909"/>
    <w:rsid w:val="00610CDE"/>
    <w:rsid w:val="0062459A"/>
    <w:rsid w:val="006374B2"/>
    <w:rsid w:val="0068695C"/>
    <w:rsid w:val="0068771F"/>
    <w:rsid w:val="006B1409"/>
    <w:rsid w:val="00712715"/>
    <w:rsid w:val="00731EC9"/>
    <w:rsid w:val="00770CE5"/>
    <w:rsid w:val="00772B49"/>
    <w:rsid w:val="00783659"/>
    <w:rsid w:val="0078668B"/>
    <w:rsid w:val="007A2B88"/>
    <w:rsid w:val="007B0E17"/>
    <w:rsid w:val="007C1CE1"/>
    <w:rsid w:val="00815DC3"/>
    <w:rsid w:val="00833554"/>
    <w:rsid w:val="00843EFE"/>
    <w:rsid w:val="008460AF"/>
    <w:rsid w:val="00847589"/>
    <w:rsid w:val="00850012"/>
    <w:rsid w:val="00855192"/>
    <w:rsid w:val="00862ECC"/>
    <w:rsid w:val="008A351F"/>
    <w:rsid w:val="008A75D7"/>
    <w:rsid w:val="008C4F23"/>
    <w:rsid w:val="008E1B48"/>
    <w:rsid w:val="008E22DE"/>
    <w:rsid w:val="00904793"/>
    <w:rsid w:val="00917BA6"/>
    <w:rsid w:val="00920DF2"/>
    <w:rsid w:val="0094756A"/>
    <w:rsid w:val="00954594"/>
    <w:rsid w:val="0097088E"/>
    <w:rsid w:val="00974E59"/>
    <w:rsid w:val="00990186"/>
    <w:rsid w:val="00A13B16"/>
    <w:rsid w:val="00A2210E"/>
    <w:rsid w:val="00A3138A"/>
    <w:rsid w:val="00A33790"/>
    <w:rsid w:val="00A64CE2"/>
    <w:rsid w:val="00AC00D6"/>
    <w:rsid w:val="00AE5AA4"/>
    <w:rsid w:val="00B00F7F"/>
    <w:rsid w:val="00B24573"/>
    <w:rsid w:val="00B410F4"/>
    <w:rsid w:val="00B463D6"/>
    <w:rsid w:val="00B522F5"/>
    <w:rsid w:val="00B613D7"/>
    <w:rsid w:val="00B66926"/>
    <w:rsid w:val="00B77E23"/>
    <w:rsid w:val="00BB3F71"/>
    <w:rsid w:val="00BF08FD"/>
    <w:rsid w:val="00C64855"/>
    <w:rsid w:val="00CA2A82"/>
    <w:rsid w:val="00CB413C"/>
    <w:rsid w:val="00CD3C6D"/>
    <w:rsid w:val="00D107EF"/>
    <w:rsid w:val="00D17105"/>
    <w:rsid w:val="00D30232"/>
    <w:rsid w:val="00D854F9"/>
    <w:rsid w:val="00D87CA5"/>
    <w:rsid w:val="00DA014E"/>
    <w:rsid w:val="00DA16D1"/>
    <w:rsid w:val="00DB2F0B"/>
    <w:rsid w:val="00DE3121"/>
    <w:rsid w:val="00DF1285"/>
    <w:rsid w:val="00DF5898"/>
    <w:rsid w:val="00E30662"/>
    <w:rsid w:val="00E63CBF"/>
    <w:rsid w:val="00E94E8C"/>
    <w:rsid w:val="00E97993"/>
    <w:rsid w:val="00EA5A1E"/>
    <w:rsid w:val="00EC437C"/>
    <w:rsid w:val="00ED7AF3"/>
    <w:rsid w:val="00EF348A"/>
    <w:rsid w:val="00F0447E"/>
    <w:rsid w:val="00F05657"/>
    <w:rsid w:val="00F451D3"/>
    <w:rsid w:val="00F62A4D"/>
    <w:rsid w:val="00F804A9"/>
    <w:rsid w:val="00F85856"/>
    <w:rsid w:val="00FB31EB"/>
    <w:rsid w:val="00FD2BEF"/>
    <w:rsid w:val="00FE68EA"/>
    <w:rsid w:val="00FF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21A865-9B50-4225-9756-6FC1A2F08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3659"/>
    <w:pPr>
      <w:spacing w:after="200" w:line="276" w:lineRule="auto"/>
    </w:pPr>
    <w:rPr>
      <w:rFonts w:ascii="Calibri" w:eastAsia="Calibri" w:hAnsi="Calibri" w:cs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"/>
    <w:basedOn w:val="Normalny"/>
    <w:link w:val="AkapitzlistZnak"/>
    <w:uiPriority w:val="34"/>
    <w:qFormat/>
    <w:rsid w:val="0078365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3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48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49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49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49D0"/>
    <w:rPr>
      <w:rFonts w:ascii="Calibri" w:eastAsia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49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49D0"/>
    <w:rPr>
      <w:rFonts w:ascii="Calibri" w:eastAsia="Calibri" w:hAnsi="Calibri" w:cs="Calibri"/>
      <w:b/>
      <w:bCs/>
      <w:sz w:val="20"/>
      <w:szCs w:val="20"/>
    </w:rPr>
  </w:style>
  <w:style w:type="paragraph" w:customStyle="1" w:styleId="Default">
    <w:name w:val="Default"/>
    <w:uiPriority w:val="99"/>
    <w:rsid w:val="001449D0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Cs w:val="24"/>
      <w:lang w:eastAsia="pl-PL"/>
    </w:r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34"/>
    <w:locked/>
    <w:rsid w:val="00DF5898"/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2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5819</Words>
  <Characters>34920</Characters>
  <Application>Microsoft Office Word</Application>
  <DocSecurity>4</DocSecurity>
  <Lines>291</Lines>
  <Paragraphs>81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Bonek Przemysław</dc:creator>
  <cp:lastModifiedBy>Bonek Przemysław</cp:lastModifiedBy>
  <cp:revision>2</cp:revision>
  <cp:lastPrinted>2018-06-28T14:17:00Z</cp:lastPrinted>
  <dcterms:created xsi:type="dcterms:W3CDTF">2019-10-17T10:04:00Z</dcterms:created>
  <dcterms:modified xsi:type="dcterms:W3CDTF">2019-10-17T10:04:00Z</dcterms:modified>
</cp:coreProperties>
</file>